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3CF0" w14:textId="4258BE28" w:rsidR="00766652" w:rsidRPr="006A6CA2" w:rsidRDefault="00D84F25" w:rsidP="00766652">
      <w:pPr>
        <w:pStyle w:val="Title"/>
        <w:rPr>
          <w:sz w:val="44"/>
          <w:szCs w:val="44"/>
        </w:rPr>
      </w:pPr>
      <w:r>
        <w:rPr>
          <w:sz w:val="44"/>
          <w:szCs w:val="44"/>
        </w:rPr>
        <w:t>Implementation</w:t>
      </w:r>
      <w:r w:rsidR="00766652" w:rsidRPr="00712A23">
        <w:rPr>
          <w:sz w:val="44"/>
          <w:szCs w:val="44"/>
        </w:rPr>
        <w:t xml:space="preserve"> Statement, covering</w:t>
      </w:r>
      <w:r w:rsidR="00431E35">
        <w:rPr>
          <w:sz w:val="44"/>
          <w:szCs w:val="44"/>
        </w:rPr>
        <w:t xml:space="preserve"> the </w:t>
      </w:r>
      <w:r w:rsidR="009D6AA6">
        <w:rPr>
          <w:sz w:val="44"/>
          <w:szCs w:val="44"/>
        </w:rPr>
        <w:t xml:space="preserve">Scheme </w:t>
      </w:r>
      <w:r w:rsidR="00431E35">
        <w:rPr>
          <w:sz w:val="44"/>
          <w:szCs w:val="44"/>
        </w:rPr>
        <w:t xml:space="preserve">Year </w:t>
      </w:r>
      <w:r w:rsidR="00431E35" w:rsidRPr="006A6CA2">
        <w:rPr>
          <w:sz w:val="44"/>
          <w:szCs w:val="44"/>
        </w:rPr>
        <w:t>from</w:t>
      </w:r>
      <w:r w:rsidR="00766652" w:rsidRPr="006A6CA2">
        <w:rPr>
          <w:sz w:val="44"/>
          <w:szCs w:val="44"/>
        </w:rPr>
        <w:t xml:space="preserve"> </w:t>
      </w:r>
      <w:r w:rsidR="00C76908" w:rsidRPr="006A6CA2">
        <w:rPr>
          <w:rStyle w:val="normaltextrun"/>
          <w:sz w:val="44"/>
          <w:szCs w:val="44"/>
          <w:bdr w:val="none" w:sz="0" w:space="0" w:color="auto" w:frame="1"/>
        </w:rPr>
        <w:t>1 April 2023 to 31 March 2024</w:t>
      </w:r>
      <w:r w:rsidR="00C76908" w:rsidRPr="006A6CA2" w:rsidDel="00C76908">
        <w:rPr>
          <w:sz w:val="44"/>
          <w:szCs w:val="44"/>
        </w:rPr>
        <w:t xml:space="preserve"> </w:t>
      </w:r>
    </w:p>
    <w:p w14:paraId="6FD7CA93" w14:textId="2DB53343" w:rsidR="009D6AE9" w:rsidRDefault="008A314E" w:rsidP="00766652">
      <w:pPr>
        <w:pStyle w:val="Body"/>
      </w:pPr>
      <w:r w:rsidRPr="00665D12">
        <w:rPr>
          <w:rFonts w:eastAsia="Arial" w:cs="Times New Roman"/>
          <w:color w:val="auto"/>
          <w:szCs w:val="22"/>
        </w:rPr>
        <w:t xml:space="preserve">The Trustee of </w:t>
      </w:r>
      <w:r w:rsidR="00A53587" w:rsidRPr="00A53587">
        <w:rPr>
          <w:rFonts w:eastAsia="Arial" w:cs="Times New Roman"/>
          <w:color w:val="auto"/>
          <w:szCs w:val="22"/>
        </w:rPr>
        <w:t xml:space="preserve">the GEAPS </w:t>
      </w:r>
      <w:r w:rsidRPr="00665D12">
        <w:rPr>
          <w:rFonts w:eastAsia="Arial" w:cs="Times New Roman"/>
          <w:color w:val="auto"/>
          <w:szCs w:val="22"/>
        </w:rPr>
        <w:t>(the “</w:t>
      </w:r>
      <w:r w:rsidR="001A5497">
        <w:rPr>
          <w:rFonts w:eastAsia="Arial" w:cs="Times New Roman"/>
          <w:color w:val="auto"/>
          <w:szCs w:val="22"/>
        </w:rPr>
        <w:t>Scheme</w:t>
      </w:r>
      <w:r w:rsidRPr="00665D12">
        <w:rPr>
          <w:rFonts w:eastAsia="Arial" w:cs="Times New Roman"/>
          <w:color w:val="auto"/>
          <w:szCs w:val="22"/>
        </w:rPr>
        <w:t xml:space="preserve">”) is required to produce a yearly statement to </w:t>
      </w:r>
      <w:r w:rsidR="009E35B2" w:rsidRPr="00665D12">
        <w:rPr>
          <w:rFonts w:eastAsia="Arial" w:cs="Times New Roman"/>
          <w:color w:val="auto"/>
          <w:szCs w:val="22"/>
        </w:rPr>
        <w:t>set out</w:t>
      </w:r>
      <w:r w:rsidRPr="00665D12">
        <w:rPr>
          <w:rFonts w:eastAsia="Arial" w:cs="Times New Roman"/>
          <w:color w:val="auto"/>
          <w:szCs w:val="22"/>
        </w:rPr>
        <w:t xml:space="preserve"> </w:t>
      </w:r>
      <w:r w:rsidRPr="00665D12">
        <w:t>how</w:t>
      </w:r>
      <w:r w:rsidR="009E1F8C" w:rsidRPr="00665D12">
        <w:t>,</w:t>
      </w:r>
      <w:r w:rsidRPr="00665D12">
        <w:t xml:space="preserve"> and the extent to which</w:t>
      </w:r>
      <w:r w:rsidR="009E1F8C" w:rsidRPr="00665D12">
        <w:t>,</w:t>
      </w:r>
      <w:r w:rsidRPr="00665D12">
        <w:t xml:space="preserve"> the Trustee has</w:t>
      </w:r>
      <w:r w:rsidR="001826DA">
        <w:t xml:space="preserve"> </w:t>
      </w:r>
      <w:r w:rsidRPr="00665D12">
        <w:t xml:space="preserve">followed the voting and engagement policies in its Statement of Investment Principles (“SIP”) during the </w:t>
      </w:r>
      <w:r w:rsidR="009D6AA6">
        <w:t xml:space="preserve">Scheme </w:t>
      </w:r>
      <w:r w:rsidR="00431E35" w:rsidRPr="00665D12">
        <w:t>Year</w:t>
      </w:r>
      <w:r w:rsidRPr="00665D12">
        <w:t>.</w:t>
      </w:r>
      <w:r w:rsidR="00F6505B">
        <w:t xml:space="preserve"> </w:t>
      </w:r>
      <w:r w:rsidR="007C5F2E" w:rsidRPr="00665D12">
        <w:t xml:space="preserve">This is provided in </w:t>
      </w:r>
      <w:r w:rsidR="00C41037" w:rsidRPr="00665D12">
        <w:t>S</w:t>
      </w:r>
      <w:r w:rsidR="007C5F2E" w:rsidRPr="00665D12">
        <w:t xml:space="preserve">ection </w:t>
      </w:r>
      <w:r w:rsidR="00DB34F1" w:rsidRPr="00665D12">
        <w:t xml:space="preserve">1 </w:t>
      </w:r>
      <w:r w:rsidR="007C5F2E" w:rsidRPr="00665D12">
        <w:t>below</w:t>
      </w:r>
      <w:r w:rsidR="004B18BB" w:rsidRPr="00665D12">
        <w:t>.</w:t>
      </w:r>
    </w:p>
    <w:p w14:paraId="028BCF8B" w14:textId="7697C318" w:rsidR="008A314E" w:rsidRDefault="008A314E" w:rsidP="00766652">
      <w:pPr>
        <w:pStyle w:val="Body"/>
        <w:rPr>
          <w:i/>
          <w:iCs/>
        </w:rPr>
      </w:pPr>
      <w:r w:rsidRPr="00AC16F7">
        <w:t>The Statement is also required to include a description of the voting behaviour</w:t>
      </w:r>
      <w:r w:rsidR="0052442A" w:rsidRPr="00AC16F7">
        <w:t xml:space="preserve"> during the </w:t>
      </w:r>
      <w:r w:rsidR="009D6AA6">
        <w:t xml:space="preserve">Scheme </w:t>
      </w:r>
      <w:r w:rsidR="00431E35" w:rsidRPr="00AC16F7">
        <w:t>Year</w:t>
      </w:r>
      <w:r w:rsidRPr="00AC16F7">
        <w:t xml:space="preserve"> by, and on behalf of, </w:t>
      </w:r>
      <w:r w:rsidR="00504770">
        <w:t>Trustee</w:t>
      </w:r>
      <w:r w:rsidRPr="00AC16F7">
        <w:t xml:space="preserve"> (including the most significant votes cast by </w:t>
      </w:r>
      <w:r w:rsidR="00504770">
        <w:t>Trustee</w:t>
      </w:r>
      <w:r w:rsidRPr="00AC16F7">
        <w:t xml:space="preserve"> or on their behalf) and state any use of the services of a proxy voter during that year.</w:t>
      </w:r>
      <w:r w:rsidR="00CB443E">
        <w:t xml:space="preserve"> This is provided </w:t>
      </w:r>
      <w:r w:rsidR="00CB443E" w:rsidRPr="0027437E">
        <w:t xml:space="preserve">in </w:t>
      </w:r>
      <w:r w:rsidR="007942D9" w:rsidRPr="0027437E">
        <w:t>S</w:t>
      </w:r>
      <w:r w:rsidR="007C5F2E" w:rsidRPr="0027437E">
        <w:t xml:space="preserve">ection </w:t>
      </w:r>
      <w:r w:rsidR="001F4555" w:rsidRPr="00CB56AF">
        <w:t>3 below.</w:t>
      </w:r>
    </w:p>
    <w:p w14:paraId="7926BAF9" w14:textId="2E915DF8" w:rsidR="00712A2D" w:rsidRPr="00712A2D" w:rsidRDefault="00CA61F6" w:rsidP="00766652">
      <w:pPr>
        <w:pStyle w:val="Body"/>
      </w:pPr>
      <w:r>
        <w:t xml:space="preserve">In preparing the Statement, the Trustee has had regard to the </w:t>
      </w:r>
      <w:hyperlink r:id="rId11" w:history="1">
        <w:r w:rsidR="00CA37C0">
          <w:rPr>
            <w:rStyle w:val="Hyperlink"/>
          </w:rPr>
          <w:t>g</w:t>
        </w:r>
        <w:r>
          <w:rPr>
            <w:rStyle w:val="Hyperlink"/>
          </w:rPr>
          <w:t>uidance</w:t>
        </w:r>
      </w:hyperlink>
      <w:r w:rsidR="00E355A0">
        <w:rPr>
          <w:rStyle w:val="Hyperlink"/>
        </w:rPr>
        <w:t xml:space="preserve"> on </w:t>
      </w:r>
      <w:r w:rsidR="00E355A0" w:rsidRPr="00CA61F6">
        <w:rPr>
          <w:rStyle w:val="Hyperlink"/>
        </w:rPr>
        <w:t xml:space="preserve">Reporting on Stewardship and Other Topics through the </w:t>
      </w:r>
      <w:r w:rsidR="00CA37C0" w:rsidRPr="00CA37C0">
        <w:rPr>
          <w:rStyle w:val="Hyperlink"/>
        </w:rPr>
        <w:t xml:space="preserve">Statement of Investment Principles and the </w:t>
      </w:r>
      <w:r w:rsidR="00E355A0" w:rsidRPr="00CA61F6">
        <w:rPr>
          <w:rStyle w:val="Hyperlink"/>
        </w:rPr>
        <w:t>Implementation Statement</w:t>
      </w:r>
      <w:r w:rsidR="00E355A0">
        <w:rPr>
          <w:rStyle w:val="Hyperlink"/>
        </w:rPr>
        <w:t>, issued by t</w:t>
      </w:r>
      <w:r w:rsidR="00712A2D">
        <w:t>he Department for Work and Pensions (“DWP</w:t>
      </w:r>
      <w:r w:rsidR="00CA37C0">
        <w:t>’s guidance</w:t>
      </w:r>
      <w:r w:rsidR="00712A2D">
        <w:t>”) in June 2022.</w:t>
      </w:r>
      <w:r w:rsidR="00F6505B">
        <w:t xml:space="preserve"> </w:t>
      </w:r>
    </w:p>
    <w:p w14:paraId="6B3C24EA" w14:textId="20E356B6" w:rsidR="0011755E" w:rsidRDefault="00985B32" w:rsidP="002340B6">
      <w:pPr>
        <w:pStyle w:val="NumberedHeading1"/>
      </w:pPr>
      <w:r>
        <w:t>Introduction</w:t>
      </w:r>
    </w:p>
    <w:p w14:paraId="70FC2909" w14:textId="2A7CBCA5" w:rsidR="00BA091D" w:rsidRPr="00E55A07" w:rsidRDefault="009159FF" w:rsidP="00F72A54">
      <w:pPr>
        <w:pStyle w:val="Body"/>
      </w:pPr>
      <w:r w:rsidRPr="00E55A07">
        <w:rPr>
          <w:rFonts w:eastAsia="Arial" w:cs="Times New Roman"/>
          <w:color w:val="auto"/>
        </w:rPr>
        <w:t>The Scheme’s SIP was updated in October 2023, to mainly reflect</w:t>
      </w:r>
      <w:r w:rsidR="005A7252" w:rsidRPr="00CB56AF">
        <w:rPr>
          <w:rFonts w:eastAsia="Arial" w:cs="Times New Roman"/>
          <w:color w:val="auto"/>
        </w:rPr>
        <w:t xml:space="preserve"> </w:t>
      </w:r>
      <w:r w:rsidR="00F72A54" w:rsidRPr="00F72A54">
        <w:rPr>
          <w:rFonts w:eastAsia="Arial" w:cs="Times New Roman"/>
          <w:color w:val="auto"/>
        </w:rPr>
        <w:t>changes to the Scheme’s strategic allocation following an agreement between the Trustee and the Sponsor of the Scheme to move to a lower risk strategy</w:t>
      </w:r>
      <w:r w:rsidR="009F2DEB">
        <w:rPr>
          <w:rFonts w:eastAsia="Arial" w:cs="Times New Roman"/>
          <w:color w:val="auto"/>
        </w:rPr>
        <w:t xml:space="preserve">. The SIP was also updated to include the </w:t>
      </w:r>
      <w:r w:rsidR="00394F92">
        <w:rPr>
          <w:rFonts w:eastAsia="Arial" w:cs="Times New Roman"/>
          <w:color w:val="auto"/>
        </w:rPr>
        <w:t xml:space="preserve">Trustee’s </w:t>
      </w:r>
      <w:r w:rsidR="009F2DEB">
        <w:rPr>
          <w:rFonts w:eastAsia="Arial" w:cs="Times New Roman"/>
          <w:color w:val="auto"/>
        </w:rPr>
        <w:t>agreed stewardship priorities, whi</w:t>
      </w:r>
      <w:r w:rsidR="002653FA">
        <w:rPr>
          <w:rFonts w:eastAsia="Arial" w:cs="Times New Roman"/>
          <w:color w:val="auto"/>
        </w:rPr>
        <w:t xml:space="preserve">ch are </w:t>
      </w:r>
      <w:r w:rsidR="002653FA" w:rsidRPr="002653FA">
        <w:rPr>
          <w:rFonts w:eastAsia="Arial" w:cs="Times New Roman"/>
          <w:color w:val="auto"/>
        </w:rPr>
        <w:t xml:space="preserve">Climate change, Human rights and </w:t>
      </w:r>
      <w:proofErr w:type="gramStart"/>
      <w:r w:rsidR="002653FA" w:rsidRPr="002653FA">
        <w:rPr>
          <w:rFonts w:eastAsia="Arial" w:cs="Times New Roman"/>
          <w:color w:val="auto"/>
        </w:rPr>
        <w:t>Corporate</w:t>
      </w:r>
      <w:proofErr w:type="gramEnd"/>
      <w:r w:rsidR="002653FA" w:rsidRPr="002653FA">
        <w:rPr>
          <w:rFonts w:eastAsia="Arial" w:cs="Times New Roman"/>
          <w:color w:val="auto"/>
        </w:rPr>
        <w:t xml:space="preserve"> transparency</w:t>
      </w:r>
      <w:r w:rsidR="002653FA">
        <w:rPr>
          <w:rFonts w:eastAsia="Arial" w:cs="Times New Roman"/>
          <w:color w:val="auto"/>
        </w:rPr>
        <w:t>.</w:t>
      </w:r>
      <w:r w:rsidR="00F6505B">
        <w:t xml:space="preserve"> </w:t>
      </w:r>
      <w:r w:rsidR="009B478D" w:rsidRPr="00E55A07">
        <w:t>N</w:t>
      </w:r>
      <w:r w:rsidR="00542404" w:rsidRPr="00E55A07">
        <w:rPr>
          <w:rFonts w:eastAsia="Arial" w:cs="Times New Roman"/>
          <w:color w:val="auto"/>
          <w:szCs w:val="22"/>
        </w:rPr>
        <w:t xml:space="preserve">o </w:t>
      </w:r>
      <w:r w:rsidR="00AC1E75">
        <w:rPr>
          <w:rFonts w:eastAsia="Arial" w:cs="Times New Roman"/>
          <w:color w:val="auto"/>
          <w:szCs w:val="22"/>
        </w:rPr>
        <w:t>other</w:t>
      </w:r>
      <w:r w:rsidR="00542404" w:rsidRPr="00E55A07">
        <w:rPr>
          <w:rFonts w:eastAsia="Arial" w:cs="Times New Roman"/>
          <w:color w:val="auto"/>
          <w:szCs w:val="22"/>
        </w:rPr>
        <w:t xml:space="preserve"> </w:t>
      </w:r>
      <w:r w:rsidR="00D16072" w:rsidRPr="00E55A07">
        <w:rPr>
          <w:rFonts w:eastAsia="Arial" w:cs="Times New Roman"/>
          <w:color w:val="auto"/>
          <w:szCs w:val="22"/>
        </w:rPr>
        <w:t xml:space="preserve">changes were made to the </w:t>
      </w:r>
      <w:r w:rsidR="00D16072" w:rsidRPr="00E55A07">
        <w:rPr>
          <w:rFonts w:eastAsia="Arial" w:cs="Times New Roman"/>
          <w:iCs/>
          <w:color w:val="auto"/>
          <w:szCs w:val="22"/>
        </w:rPr>
        <w:t>voting and engagement policies</w:t>
      </w:r>
      <w:r w:rsidR="00D16072" w:rsidRPr="00E55A07">
        <w:rPr>
          <w:rFonts w:eastAsia="Arial" w:cs="Times New Roman"/>
          <w:color w:val="auto"/>
          <w:szCs w:val="22"/>
        </w:rPr>
        <w:t xml:space="preserve"> in the SIP</w:t>
      </w:r>
      <w:r w:rsidR="00542404" w:rsidRPr="00E55A07">
        <w:rPr>
          <w:rFonts w:eastAsia="Arial" w:cs="Times New Roman"/>
          <w:color w:val="auto"/>
          <w:szCs w:val="22"/>
        </w:rPr>
        <w:t xml:space="preserve"> during the </w:t>
      </w:r>
      <w:r w:rsidR="009D6AA6" w:rsidRPr="00E55A07">
        <w:rPr>
          <w:rFonts w:eastAsia="Arial" w:cs="Times New Roman"/>
          <w:color w:val="auto"/>
          <w:szCs w:val="22"/>
        </w:rPr>
        <w:t xml:space="preserve">Scheme </w:t>
      </w:r>
      <w:r w:rsidR="00431E35" w:rsidRPr="00E55A07">
        <w:rPr>
          <w:rFonts w:eastAsia="Arial" w:cs="Times New Roman"/>
          <w:color w:val="auto"/>
          <w:szCs w:val="22"/>
        </w:rPr>
        <w:t>Year</w:t>
      </w:r>
      <w:r w:rsidR="00542404" w:rsidRPr="00E55A07">
        <w:rPr>
          <w:rFonts w:eastAsia="Arial" w:cs="Times New Roman"/>
          <w:color w:val="auto"/>
          <w:szCs w:val="22"/>
        </w:rPr>
        <w:t>.</w:t>
      </w:r>
      <w:r w:rsidR="00EE2075" w:rsidRPr="00E55A07">
        <w:rPr>
          <w:szCs w:val="20"/>
          <w:shd w:val="clear" w:color="auto" w:fill="FFFFFF"/>
        </w:rPr>
        <w:t xml:space="preserve"> </w:t>
      </w:r>
      <w:r w:rsidR="00BA091D" w:rsidRPr="00E55A07">
        <w:t>The SIP can be viewed by following the link below:</w:t>
      </w:r>
    </w:p>
    <w:p w14:paraId="5CE12A0B" w14:textId="28CA75D9" w:rsidR="00BA091D" w:rsidRDefault="00903D55" w:rsidP="00F44F37">
      <w:pPr>
        <w:pStyle w:val="Body"/>
      </w:pPr>
      <w:hyperlink r:id="rId12" w:history="1">
        <w:r w:rsidR="00BA091D" w:rsidRPr="00E55A07">
          <w:rPr>
            <w:rStyle w:val="Hyperlink"/>
          </w:rPr>
          <w:t>https://www.geapspensionscheme.com/</w:t>
        </w:r>
      </w:hyperlink>
      <w:r w:rsidR="00BA091D" w:rsidRPr="00E55A07">
        <w:t xml:space="preserve"> </w:t>
      </w:r>
    </w:p>
    <w:p w14:paraId="5699B309" w14:textId="17EC2378" w:rsidR="001D6B42" w:rsidRPr="00CB56AF" w:rsidRDefault="00917069" w:rsidP="00F44F37">
      <w:pPr>
        <w:pStyle w:val="Body"/>
      </w:pPr>
      <w:r w:rsidRPr="00123BDD">
        <w:t xml:space="preserve">The voting and engagement policy, as outlined in the SIP states that: </w:t>
      </w:r>
      <w:r w:rsidR="00BF56C1">
        <w:t>“</w:t>
      </w:r>
      <w:r w:rsidR="00B83E49" w:rsidRPr="00B83E49">
        <w:t>The Trustee recognises its responsibilities as owners of capital, and believes that good stewardship practices, including monitoring and engaging with investee companies, and exercising voting rights attaching to investments, protect and enhance the long-term value of investments. The Trustee has delegated to its investment managers the exercise of rights attaching to investments, including voting rights, and engagement with issuers of debt and equity and other relevant persons about relevant matters such as performance, strategy, risks and ESG considerations.</w:t>
      </w:r>
      <w:r w:rsidR="00F92EF3">
        <w:t xml:space="preserve"> </w:t>
      </w:r>
      <w:r w:rsidR="003F7318" w:rsidRPr="003F7318">
        <w:t xml:space="preserve">The Trustee does not monitor or engage directly with issuers or other holders of debt or equity. It expects the investment managers to exercise ownership rights and undertake monitoring and engagement in line with the managers’ general policies on stewardship, as reported to the Trustee from time to time, </w:t>
      </w:r>
      <w:proofErr w:type="gramStart"/>
      <w:r w:rsidR="003F7318" w:rsidRPr="003F7318">
        <w:t>taking into account</w:t>
      </w:r>
      <w:proofErr w:type="gramEnd"/>
      <w:r w:rsidR="003F7318" w:rsidRPr="003F7318">
        <w:t xml:space="preserve"> the long-term financial interests of the beneficiaries. The Trustee and</w:t>
      </w:r>
      <w:r w:rsidR="00BF56C1" w:rsidRPr="00BF56C1">
        <w:rPr>
          <w:sz w:val="18"/>
        </w:rPr>
        <w:t xml:space="preserve"> </w:t>
      </w:r>
      <w:r w:rsidR="00BF56C1" w:rsidRPr="00BF56C1">
        <w:t>Fiduciary Manager have limited influence over managers’ stewardship practices where assets are held in pooled funds but encourage managers to improve their practices where appropriate.</w:t>
      </w:r>
      <w:r w:rsidR="00BF56C1">
        <w:t>”</w:t>
      </w:r>
    </w:p>
    <w:p w14:paraId="08EA7F7E" w14:textId="41451A01" w:rsidR="00AD0EA2" w:rsidRPr="00E55A07" w:rsidRDefault="00B45A57" w:rsidP="00C93FCE">
      <w:pPr>
        <w:pStyle w:val="Body"/>
        <w:rPr>
          <w:rFonts w:eastAsia="Arial" w:cs="Times New Roman"/>
          <w:i/>
          <w:iCs/>
          <w:color w:val="auto"/>
          <w:szCs w:val="22"/>
        </w:rPr>
      </w:pPr>
      <w:r w:rsidRPr="00E55A07">
        <w:t>The Trustee has</w:t>
      </w:r>
      <w:r w:rsidR="00D146BE" w:rsidRPr="00E55A07">
        <w:t>, in its opinion,</w:t>
      </w:r>
      <w:r w:rsidRPr="00E55A07">
        <w:t xml:space="preserve"> followed the </w:t>
      </w:r>
      <w:r w:rsidR="001A5497" w:rsidRPr="00E55A07">
        <w:t>Scheme</w:t>
      </w:r>
      <w:r w:rsidRPr="00E55A07">
        <w:t xml:space="preserve">’s voting and engagement policies during the </w:t>
      </w:r>
      <w:r w:rsidR="009D6AA6" w:rsidRPr="00E55A07">
        <w:t xml:space="preserve">Scheme </w:t>
      </w:r>
      <w:r w:rsidR="00431E35" w:rsidRPr="00E55A07">
        <w:t>Year</w:t>
      </w:r>
      <w:r w:rsidR="00811160" w:rsidRPr="00E55A07">
        <w:t>,</w:t>
      </w:r>
      <w:r w:rsidR="00F6505B">
        <w:t xml:space="preserve"> </w:t>
      </w:r>
      <w:r w:rsidR="00811160" w:rsidRPr="00E55A07">
        <w:t xml:space="preserve">by continuing to delegate to its </w:t>
      </w:r>
      <w:r w:rsidR="002630BB">
        <w:t>F</w:t>
      </w:r>
      <w:r w:rsidR="00811160" w:rsidRPr="00E55A07">
        <w:t xml:space="preserve">iduciary </w:t>
      </w:r>
      <w:r w:rsidR="002630BB">
        <w:t>M</w:t>
      </w:r>
      <w:r w:rsidR="00811160" w:rsidRPr="00E55A07">
        <w:t>anager, State Street Global Advisors (“SSGA”), and the underlying investment managers, the exercise of voting rights and engagement</w:t>
      </w:r>
      <w:r w:rsidR="00811160">
        <w:t xml:space="preserve"> activities in relation to investments, as well as seeking to appoint managers that </w:t>
      </w:r>
      <w:r w:rsidR="00811160" w:rsidRPr="00E55A07">
        <w:t xml:space="preserve">have strong stewardship policies and processes. </w:t>
      </w:r>
      <w:r w:rsidR="0067292A" w:rsidRPr="00E55A07">
        <w:t>The following Sections provide detail and commentary about how and the extent to which they have done this. SSGA’s implementation of the Scheme’s SIP is overseen by the Trustee’s strategic investment consultant, Lane Clark &amp; Peacock (“LCP”).</w:t>
      </w:r>
      <w:r w:rsidR="0067292A" w:rsidRPr="00E55A07" w:rsidDel="00811160">
        <w:rPr>
          <w:rFonts w:eastAsia="Arial" w:cs="Times New Roman"/>
          <w:i/>
          <w:iCs/>
          <w:color w:val="auto"/>
          <w:szCs w:val="22"/>
        </w:rPr>
        <w:t xml:space="preserve"> </w:t>
      </w:r>
    </w:p>
    <w:p w14:paraId="5F8AF37B" w14:textId="13035FA0" w:rsidR="00A42FA6" w:rsidRPr="00E55A07" w:rsidRDefault="00A42FA6" w:rsidP="00A42FA6">
      <w:pPr>
        <w:pStyle w:val="Body"/>
      </w:pPr>
      <w:r w:rsidRPr="00E55A07">
        <w:t xml:space="preserve">The Trustee </w:t>
      </w:r>
      <w:r w:rsidR="00D650D2">
        <w:t xml:space="preserve">maintains a </w:t>
      </w:r>
      <w:r w:rsidRPr="00E55A07">
        <w:t>Responsible Investment (“RI”) policy</w:t>
      </w:r>
      <w:r w:rsidR="009363E4">
        <w:t xml:space="preserve">, which </w:t>
      </w:r>
      <w:r w:rsidRPr="00E55A07">
        <w:t>sets out the Trustee’s expressed beliefs and objectives relating to Environment, Social and Governance (“ESG”) factors, including climate change, asset stewardship, and consideration of non-financial matters.</w:t>
      </w:r>
      <w:r w:rsidR="00F6505B">
        <w:t xml:space="preserve"> </w:t>
      </w:r>
      <w:r w:rsidR="00D650D2">
        <w:t xml:space="preserve">This </w:t>
      </w:r>
      <w:r w:rsidR="009363E4">
        <w:t xml:space="preserve">policy </w:t>
      </w:r>
      <w:r w:rsidR="00D650D2">
        <w:t>was last reviewed in Ju</w:t>
      </w:r>
      <w:r w:rsidR="00FB4D1C">
        <w:t>ne</w:t>
      </w:r>
      <w:r w:rsidR="00D650D2">
        <w:t xml:space="preserve"> 2022.</w:t>
      </w:r>
    </w:p>
    <w:p w14:paraId="54168A7C" w14:textId="77777777" w:rsidR="00A42FA6" w:rsidRPr="00A221A7" w:rsidRDefault="00EB5A77" w:rsidP="00A221A7">
      <w:pPr>
        <w:pStyle w:val="Body"/>
      </w:pPr>
      <w:r w:rsidRPr="00A221A7">
        <w:t xml:space="preserve">The Trustee has, in its opinion, followed </w:t>
      </w:r>
      <w:proofErr w:type="gramStart"/>
      <w:r w:rsidRPr="00A221A7">
        <w:t>all of</w:t>
      </w:r>
      <w:proofErr w:type="gramEnd"/>
      <w:r w:rsidRPr="00A221A7">
        <w:t xml:space="preserve"> the policies in the Scheme’s SIP during the Scheme Year.</w:t>
      </w:r>
      <w:r w:rsidR="00F6505B" w:rsidRPr="00A221A7">
        <w:t xml:space="preserve"> </w:t>
      </w:r>
      <w:r w:rsidRPr="00A221A7">
        <w:t>The following Sections provide detail and commentary about how and the extent to which it has done so.</w:t>
      </w:r>
    </w:p>
    <w:p w14:paraId="3E61516F" w14:textId="58FED1DF" w:rsidR="00136B1B" w:rsidRPr="00136B1B" w:rsidRDefault="00136B1B" w:rsidP="00A221A7">
      <w:pPr>
        <w:pStyle w:val="Body"/>
        <w:rPr>
          <w:rFonts w:cs="Times New Roman"/>
        </w:rPr>
      </w:pPr>
      <w:r w:rsidRPr="00136B1B">
        <w:t>Following the demerger of the GE Vernova business group from the GE Company, GE</w:t>
      </w:r>
      <w:r w:rsidR="007A1C66">
        <w:t>A</w:t>
      </w:r>
      <w:r w:rsidRPr="00136B1B">
        <w:t xml:space="preserve">PS ceased to participate in the GE Common Investment Fund from 2 April 2024. This event had no impact on the Trustee’s stewardship and engagement policies. </w:t>
      </w:r>
    </w:p>
    <w:p w14:paraId="30DB0A82" w14:textId="3BA2CBA4" w:rsidR="00465E2B" w:rsidRDefault="00465E2B" w:rsidP="00465E2B">
      <w:pPr>
        <w:pStyle w:val="NumberedHeading1"/>
      </w:pPr>
      <w:r w:rsidRPr="00465E2B">
        <w:t>Voting and engagement</w:t>
      </w:r>
    </w:p>
    <w:p w14:paraId="448F212B" w14:textId="7780D013" w:rsidR="007F220B" w:rsidRDefault="003A1559" w:rsidP="0026319E">
      <w:pPr>
        <w:pStyle w:val="Body"/>
      </w:pPr>
      <w:r>
        <w:t xml:space="preserve">As part of its </w:t>
      </w:r>
      <w:r w:rsidR="006E1407">
        <w:t>role in</w:t>
      </w:r>
      <w:r>
        <w:t xml:space="preserve"> the selection and ongoing review of the investment managers, </w:t>
      </w:r>
      <w:r w:rsidR="00AA5482">
        <w:t>SSGA</w:t>
      </w:r>
      <w:r>
        <w:t xml:space="preserve"> incorporates its assessment of the nature and effectiveness of managers’ approaches to voting and engagement.</w:t>
      </w:r>
    </w:p>
    <w:p w14:paraId="4F94668E" w14:textId="220165BF" w:rsidR="00BD53D7" w:rsidRPr="00BD53D7" w:rsidRDefault="00BD53D7" w:rsidP="00BD53D7">
      <w:pPr>
        <w:pStyle w:val="Body"/>
      </w:pPr>
      <w:r w:rsidRPr="00BD53D7">
        <w:lastRenderedPageBreak/>
        <w:t xml:space="preserve">SSGA produces </w:t>
      </w:r>
      <w:r w:rsidR="00852369">
        <w:t xml:space="preserve">a </w:t>
      </w:r>
      <w:r w:rsidRPr="00BD53D7">
        <w:t xml:space="preserve">bespoke annual ESG report for the Trustee, outlining the RI scores for </w:t>
      </w:r>
      <w:proofErr w:type="gramStart"/>
      <w:r w:rsidRPr="00BD53D7">
        <w:t>all of</w:t>
      </w:r>
      <w:proofErr w:type="gramEnd"/>
      <w:r w:rsidRPr="00BD53D7">
        <w:t xml:space="preserve"> the Scheme’s underlying managers and providing examples of engagements. In addition, every manager is asked to state its ESG philosophy and is subsequently assigned an ESG rating by SSGA.</w:t>
      </w:r>
    </w:p>
    <w:p w14:paraId="0B2F3D84" w14:textId="6060B972" w:rsidR="00BD53D7" w:rsidRPr="00BD53D7" w:rsidRDefault="00BD53D7" w:rsidP="00BD53D7">
      <w:pPr>
        <w:pStyle w:val="Body"/>
      </w:pPr>
      <w:r w:rsidRPr="00BD53D7">
        <w:t>SSGA uses ‘R-Factor’, a proprietary RI scoring mechanism, to guide its engagement efforts with each manager. R-Factor scores draw on multiple data sources and leverage off widely accepted materiality frameworks from the Sustainability Accounting Standards Board (“SASB”) and corporate governance codes to generate an ESG score for listed companies.</w:t>
      </w:r>
      <w:r w:rsidR="00F6505B">
        <w:t xml:space="preserve"> </w:t>
      </w:r>
      <w:r w:rsidRPr="00BD53D7">
        <w:t>Through SSGA’s R-Factor scores, companies with low scores can be regularly monitored and engaged with via the investment managers.</w:t>
      </w:r>
    </w:p>
    <w:p w14:paraId="2E57A1F5" w14:textId="06A54D5C" w:rsidR="00BD53D7" w:rsidRPr="00BD53D7" w:rsidRDefault="00BD53D7" w:rsidP="00BD53D7">
      <w:pPr>
        <w:pStyle w:val="Body"/>
      </w:pPr>
      <w:r w:rsidRPr="00BD53D7">
        <w:t>SSGA monitors each investment manager’s engagement with individual companies, as well as engaging directly with appointed investment managers who own companies with low R-Factor scores. As part of investment due diligence, SSGA assesses the ESG policies and distinct practices of its investment partners and direct investments, leveraging industry standards and techniques to evaluate ESG data across asset classes to evaluate financially material factors for the investment portfolios.</w:t>
      </w:r>
      <w:r w:rsidR="00F6505B">
        <w:t xml:space="preserve"> </w:t>
      </w:r>
      <w:r w:rsidRPr="00BD53D7">
        <w:t xml:space="preserve">SSGA does not </w:t>
      </w:r>
      <w:proofErr w:type="gramStart"/>
      <w:r w:rsidRPr="00BD53D7">
        <w:t>take into account</w:t>
      </w:r>
      <w:proofErr w:type="gramEnd"/>
      <w:r w:rsidRPr="00BD53D7">
        <w:t xml:space="preserve"> stewardship directly when deciding whether to retain investment managers.</w:t>
      </w:r>
    </w:p>
    <w:p w14:paraId="72ED05E6" w14:textId="2AA91553" w:rsidR="00BD53D7" w:rsidRPr="00BD53D7" w:rsidRDefault="00BD53D7" w:rsidP="00BD53D7">
      <w:pPr>
        <w:pStyle w:val="Body"/>
      </w:pPr>
      <w:r w:rsidRPr="00BD53D7">
        <w:t>All scores and engagement activities are reported to the Trustee in SSGA’s annual ESG report. Over the year to 31 March 2024, SSGA engaged with 271 listed companies in which the Scheme was invested.</w:t>
      </w:r>
    </w:p>
    <w:p w14:paraId="5DA902F8" w14:textId="07122E2C" w:rsidR="006A2C8E" w:rsidRDefault="00F33E84" w:rsidP="00F33E84">
      <w:pPr>
        <w:pStyle w:val="Body"/>
      </w:pPr>
      <w:r w:rsidRPr="00A53EE4">
        <w:t>Following the introduction of DWP</w:t>
      </w:r>
      <w:r>
        <w:t>’s</w:t>
      </w:r>
      <w:r w:rsidRPr="00A53EE4">
        <w:t xml:space="preserve"> guidance, the Trustee agreed to set stewardship priorities to focus engagement with their investment managers on specific ESG </w:t>
      </w:r>
      <w:r>
        <w:t xml:space="preserve">factors. The Trustee discussed and agreed the stewardship priorities for the </w:t>
      </w:r>
      <w:r w:rsidR="009D6AA6">
        <w:t xml:space="preserve">Scheme </w:t>
      </w:r>
      <w:r w:rsidR="00F96CB2">
        <w:t xml:space="preserve">in </w:t>
      </w:r>
      <w:r w:rsidR="00C0133D">
        <w:t>March 2023</w:t>
      </w:r>
      <w:r w:rsidR="00F96CB2">
        <w:t xml:space="preserve">, which are: </w:t>
      </w:r>
      <w:r w:rsidR="00F96CB2" w:rsidRPr="002653FA">
        <w:rPr>
          <w:rFonts w:eastAsia="Arial" w:cs="Times New Roman"/>
          <w:color w:val="auto"/>
        </w:rPr>
        <w:t xml:space="preserve">Climate change, Human rights and </w:t>
      </w:r>
      <w:proofErr w:type="gramStart"/>
      <w:r w:rsidR="00F96CB2" w:rsidRPr="002653FA">
        <w:rPr>
          <w:rFonts w:eastAsia="Arial" w:cs="Times New Roman"/>
          <w:color w:val="auto"/>
        </w:rPr>
        <w:t>Corporate</w:t>
      </w:r>
      <w:proofErr w:type="gramEnd"/>
      <w:r w:rsidR="00F96CB2" w:rsidRPr="002653FA">
        <w:rPr>
          <w:rFonts w:eastAsia="Arial" w:cs="Times New Roman"/>
          <w:color w:val="auto"/>
        </w:rPr>
        <w:t xml:space="preserve"> </w:t>
      </w:r>
      <w:r w:rsidR="00F96CB2" w:rsidRPr="006261C9">
        <w:rPr>
          <w:rFonts w:eastAsia="Arial" w:cs="Times New Roman"/>
          <w:color w:val="auto"/>
        </w:rPr>
        <w:t>transparency</w:t>
      </w:r>
      <w:r w:rsidR="00F96CB2" w:rsidRPr="006261C9">
        <w:t>.</w:t>
      </w:r>
      <w:r w:rsidR="00D03545" w:rsidRPr="006261C9">
        <w:t xml:space="preserve"> The Trustee </w:t>
      </w:r>
      <w:r w:rsidR="00DC6568">
        <w:t xml:space="preserve">has </w:t>
      </w:r>
      <w:r w:rsidR="00D03545" w:rsidRPr="006261C9">
        <w:t xml:space="preserve">communicated these </w:t>
      </w:r>
      <w:r w:rsidR="00D94BCF" w:rsidRPr="006261C9">
        <w:t xml:space="preserve">priorities with the </w:t>
      </w:r>
      <w:r w:rsidR="006261C9">
        <w:t>Fiduciary Manager</w:t>
      </w:r>
      <w:r w:rsidR="00D94BCF" w:rsidRPr="006261C9">
        <w:t>.</w:t>
      </w:r>
      <w:r w:rsidR="00D94BCF">
        <w:t xml:space="preserve"> </w:t>
      </w:r>
    </w:p>
    <w:p w14:paraId="371A5E36" w14:textId="3EE54EC0" w:rsidR="007C3CE1" w:rsidRDefault="00E11D7F" w:rsidP="00E11D7F">
      <w:pPr>
        <w:pStyle w:val="Body"/>
      </w:pPr>
      <w:r>
        <w:t xml:space="preserve">The Trustee is conscious that </w:t>
      </w:r>
      <w:r w:rsidR="00701982">
        <w:t>RI</w:t>
      </w:r>
      <w:r>
        <w:t>, including voting and engagement, is rapidly evolving and therefore expects most managers will have areas where they could improve.</w:t>
      </w:r>
      <w:r w:rsidR="00F6505B">
        <w:t xml:space="preserve"> </w:t>
      </w:r>
      <w:r>
        <w:t>Therefore, the Trustee aims to have an ongoing dialogue with managers to clarify expectations and encourage improvements.</w:t>
      </w:r>
    </w:p>
    <w:p w14:paraId="6562DC10" w14:textId="7F77BE72" w:rsidR="00DF628E" w:rsidRPr="00484CF5" w:rsidRDefault="008F76C5" w:rsidP="00CB56AF">
      <w:pPr>
        <w:pStyle w:val="Body"/>
        <w:rPr>
          <w:bCs/>
          <w:i/>
          <w:iCs/>
          <w:sz w:val="22"/>
          <w:szCs w:val="20"/>
        </w:rPr>
      </w:pPr>
      <w:r w:rsidRPr="00484CF5">
        <w:rPr>
          <w:b/>
          <w:bCs/>
          <w:color w:val="00A3C7" w:themeColor="text2"/>
          <w:sz w:val="22"/>
          <w:szCs w:val="20"/>
        </w:rPr>
        <w:t xml:space="preserve">3. </w:t>
      </w:r>
      <w:r w:rsidR="00DF628E" w:rsidRPr="00484CF5">
        <w:rPr>
          <w:b/>
          <w:bCs/>
          <w:color w:val="00A3C7" w:themeColor="text2"/>
          <w:sz w:val="22"/>
          <w:szCs w:val="20"/>
        </w:rPr>
        <w:t>Description of voting behaviour</w:t>
      </w:r>
      <w:r w:rsidR="00EF74CD" w:rsidRPr="00484CF5">
        <w:rPr>
          <w:b/>
          <w:bCs/>
          <w:color w:val="00A3C7" w:themeColor="text2"/>
          <w:sz w:val="22"/>
          <w:szCs w:val="20"/>
        </w:rPr>
        <w:t xml:space="preserve"> during the</w:t>
      </w:r>
      <w:r w:rsidR="00DE201A" w:rsidRPr="00484CF5">
        <w:rPr>
          <w:b/>
          <w:bCs/>
          <w:color w:val="00A3C7" w:themeColor="text2"/>
          <w:sz w:val="22"/>
          <w:szCs w:val="20"/>
        </w:rPr>
        <w:t xml:space="preserve"> </w:t>
      </w:r>
      <w:r w:rsidR="00431E35" w:rsidRPr="00484CF5">
        <w:rPr>
          <w:b/>
          <w:bCs/>
          <w:color w:val="00A3C7" w:themeColor="text2"/>
          <w:sz w:val="22"/>
          <w:szCs w:val="20"/>
        </w:rPr>
        <w:t>Scheme Year</w:t>
      </w:r>
    </w:p>
    <w:p w14:paraId="6290DB96" w14:textId="02493864" w:rsidR="00C3597D" w:rsidRDefault="006679FB" w:rsidP="000A23AF">
      <w:pPr>
        <w:pStyle w:val="Body"/>
      </w:pPr>
      <w:proofErr w:type="gramStart"/>
      <w:r w:rsidRPr="006679FB">
        <w:t>All of</w:t>
      </w:r>
      <w:proofErr w:type="gramEnd"/>
      <w:r w:rsidRPr="006679FB">
        <w:t xml:space="preserve"> the Trustee’s holdings in </w:t>
      </w:r>
      <w:r w:rsidR="00DD0D78">
        <w:t>listed</w:t>
      </w:r>
      <w:r w:rsidRPr="006679FB">
        <w:t xml:space="preserve"> equities are within pooled funds</w:t>
      </w:r>
      <w:r w:rsidR="000A23AF" w:rsidRPr="000A23AF">
        <w:t xml:space="preserve"> </w:t>
      </w:r>
      <w:r w:rsidR="000A23AF">
        <w:t>and dedicated, segregated accounts</w:t>
      </w:r>
      <w:r w:rsidR="008466A3">
        <w:t>.</w:t>
      </w:r>
      <w:r w:rsidRPr="006679FB">
        <w:t xml:space="preserve"> </w:t>
      </w:r>
      <w:r w:rsidR="00F41E15">
        <w:t>T</w:t>
      </w:r>
      <w:r w:rsidRPr="006679FB">
        <w:t xml:space="preserve">he Trustee has delegated to </w:t>
      </w:r>
      <w:r w:rsidR="00F41E15">
        <w:t>SSGA, and by extension the underlying</w:t>
      </w:r>
      <w:r w:rsidRPr="006679FB">
        <w:t xml:space="preserve"> investment managers</w:t>
      </w:r>
      <w:r w:rsidR="002B44CE">
        <w:t>,</w:t>
      </w:r>
      <w:r w:rsidRPr="006679FB">
        <w:t xml:space="preserve"> the exercise of voting rights. Therefore</w:t>
      </w:r>
      <w:r w:rsidR="006F0F8E">
        <w:t>,</w:t>
      </w:r>
      <w:r w:rsidRPr="006679FB">
        <w:t xml:space="preserve"> the Trustee is not able to direct how votes are exercised and the Trustee itself has not used proxy voting services over the </w:t>
      </w:r>
      <w:r w:rsidR="00431E35">
        <w:t>Scheme Year</w:t>
      </w:r>
      <w:r>
        <w:t>.</w:t>
      </w:r>
      <w:r w:rsidR="00F6505B">
        <w:t xml:space="preserve"> </w:t>
      </w:r>
    </w:p>
    <w:p w14:paraId="5E555154" w14:textId="70BBB882" w:rsidR="0089465D" w:rsidRDefault="0089465D" w:rsidP="0089465D">
      <w:pPr>
        <w:pStyle w:val="Body"/>
      </w:pPr>
      <w:r>
        <w:t>In this section we have</w:t>
      </w:r>
      <w:r w:rsidR="009E7939">
        <w:t xml:space="preserve"> sought to</w:t>
      </w:r>
      <w:r>
        <w:t xml:space="preserve"> include</w:t>
      </w:r>
      <w:r w:rsidR="009E7939">
        <w:t xml:space="preserve"> </w:t>
      </w:r>
      <w:r w:rsidR="00CF0517">
        <w:t xml:space="preserve">voting </w:t>
      </w:r>
      <w:r>
        <w:t xml:space="preserve">data </w:t>
      </w:r>
      <w:r w:rsidR="00951D79">
        <w:t>in line with the Pensions and Lifetime Savings Association (PLSA) guidance</w:t>
      </w:r>
      <w:r w:rsidR="00384210">
        <w:t>, PLSA</w:t>
      </w:r>
      <w:r w:rsidR="008E6DE8">
        <w:t xml:space="preserve"> Vote Reporting template and DWP</w:t>
      </w:r>
      <w:r w:rsidR="00410B80">
        <w:t>’s</w:t>
      </w:r>
      <w:r w:rsidR="008E6DE8">
        <w:t xml:space="preserve"> </w:t>
      </w:r>
      <w:r w:rsidR="0046743C">
        <w:t>guidance</w:t>
      </w:r>
      <w:r w:rsidR="00951D79">
        <w:t xml:space="preserve">, </w:t>
      </w:r>
      <w:r>
        <w:t>on the Scheme’s funds that hold equities as follows:</w:t>
      </w:r>
    </w:p>
    <w:p w14:paraId="4D29F0F6" w14:textId="70AD4C36" w:rsidR="00AA4F72" w:rsidRPr="006852C1" w:rsidRDefault="00AA4F72" w:rsidP="00AA4F72">
      <w:pPr>
        <w:pStyle w:val="Bullet1"/>
      </w:pPr>
      <w:proofErr w:type="spellStart"/>
      <w:r w:rsidRPr="006852C1">
        <w:t>Arrowstreet</w:t>
      </w:r>
      <w:proofErr w:type="spellEnd"/>
      <w:r w:rsidRPr="006852C1">
        <w:t xml:space="preserve"> Global Equity Fund</w:t>
      </w:r>
      <w:r w:rsidR="00F6505B">
        <w:t xml:space="preserve"> </w:t>
      </w:r>
    </w:p>
    <w:p w14:paraId="5D0DDBD1" w14:textId="3146C735" w:rsidR="00AA4F72" w:rsidRPr="00CB56AF" w:rsidRDefault="00AA4F72" w:rsidP="00AA4F72">
      <w:pPr>
        <w:pStyle w:val="Bullet1"/>
      </w:pPr>
      <w:r w:rsidRPr="00CB56AF">
        <w:t>Independent Franchise Partners Global Equites</w:t>
      </w:r>
      <w:r w:rsidR="00F6505B">
        <w:t xml:space="preserve"> </w:t>
      </w:r>
      <w:r w:rsidRPr="00CB56AF">
        <w:t> </w:t>
      </w:r>
    </w:p>
    <w:p w14:paraId="392D571B" w14:textId="72460800" w:rsidR="00AA4F72" w:rsidRPr="00CB56AF" w:rsidRDefault="00AA4F72" w:rsidP="00AA4F72">
      <w:pPr>
        <w:pStyle w:val="Bullet1"/>
      </w:pPr>
      <w:r w:rsidRPr="00CB56AF">
        <w:t>Lindsell Train Global Equity Fund</w:t>
      </w:r>
      <w:r w:rsidR="00F6505B">
        <w:t xml:space="preserve"> </w:t>
      </w:r>
    </w:p>
    <w:p w14:paraId="1B7388E4" w14:textId="3FC671C1" w:rsidR="00AA4F72" w:rsidRPr="006852C1" w:rsidRDefault="00AA4F72" w:rsidP="00AA4F72">
      <w:pPr>
        <w:pStyle w:val="Bullet1"/>
      </w:pPr>
      <w:r w:rsidRPr="005A0092">
        <w:t>WCM Quality Global Growth Fund</w:t>
      </w:r>
      <w:r w:rsidR="00F6505B">
        <w:t xml:space="preserve"> </w:t>
      </w:r>
    </w:p>
    <w:p w14:paraId="290DD524" w14:textId="5F820248" w:rsidR="002B44CE" w:rsidRDefault="00A90D04" w:rsidP="002B44CE">
      <w:pPr>
        <w:pStyle w:val="Bullet1"/>
        <w:numPr>
          <w:ilvl w:val="0"/>
          <w:numId w:val="0"/>
        </w:numPr>
      </w:pPr>
      <w:r>
        <w:br/>
      </w:r>
      <w:r w:rsidR="001B4BFC">
        <w:t>As part of the move to a lower-risk strategy, t</w:t>
      </w:r>
      <w:r w:rsidR="002B44CE">
        <w:t xml:space="preserve">he Trustee disinvested from </w:t>
      </w:r>
      <w:proofErr w:type="gramStart"/>
      <w:r w:rsidR="002B44CE">
        <w:t>all of</w:t>
      </w:r>
      <w:proofErr w:type="gramEnd"/>
      <w:r w:rsidR="002B44CE">
        <w:t xml:space="preserve"> the above funds over the Scheme Year, such that the Scheme had no exposure to listed equities at the Scheme Year end. In </w:t>
      </w:r>
      <w:r w:rsidR="004D515E">
        <w:t>this section</w:t>
      </w:r>
      <w:r w:rsidR="002B44CE">
        <w:t>, we have only included voting information for the above funds for the period over the year in which the Scheme was invested.</w:t>
      </w:r>
    </w:p>
    <w:p w14:paraId="67C31FDE" w14:textId="4A32AE21" w:rsidR="002B44CE" w:rsidRDefault="002B44CE" w:rsidP="002B44CE">
      <w:pPr>
        <w:pStyle w:val="Bullet1"/>
        <w:numPr>
          <w:ilvl w:val="0"/>
          <w:numId w:val="0"/>
        </w:numPr>
      </w:pPr>
      <w:r>
        <w:t>We note that the RBC Emerging Markets Equity Fund has been excluded from the above list, as the fund only represented 0.4% of the Scheme’s assets at the start of the Scheme Year.</w:t>
      </w:r>
    </w:p>
    <w:p w14:paraId="0829154E" w14:textId="4319B4E0" w:rsidR="00397388" w:rsidRPr="007E4969" w:rsidRDefault="00397388" w:rsidP="00CB56AF">
      <w:pPr>
        <w:pStyle w:val="Bullet1"/>
        <w:numPr>
          <w:ilvl w:val="0"/>
          <w:numId w:val="0"/>
        </w:numPr>
        <w:rPr>
          <w:rStyle w:val="eop"/>
        </w:rPr>
      </w:pPr>
      <w:r>
        <w:t xml:space="preserve">In addition to the above, the Trustee contacted the </w:t>
      </w:r>
      <w:r w:rsidRPr="00E90268">
        <w:t>Scheme’s other asset managers that don’t hold listed equities to ask if any of the assets held by the Scheme had voting opportunities over the period. Commentary provided from a subset of these managers, where available, is set out in Section 3.4.</w:t>
      </w:r>
    </w:p>
    <w:p w14:paraId="77D53D2F" w14:textId="7491AC57" w:rsidR="006C79C7" w:rsidRPr="00EA0EA1" w:rsidRDefault="00225613" w:rsidP="00C5746C">
      <w:pPr>
        <w:pStyle w:val="Body"/>
        <w:rPr>
          <w:b/>
          <w:bCs/>
          <w:color w:val="002F5F" w:themeColor="accent4"/>
        </w:rPr>
      </w:pPr>
      <w:r>
        <w:rPr>
          <w:b/>
          <w:bCs/>
          <w:color w:val="002F5F" w:themeColor="accent4"/>
        </w:rPr>
        <w:t>3</w:t>
      </w:r>
      <w:r w:rsidR="0078052D" w:rsidRPr="00EA0EA1">
        <w:rPr>
          <w:b/>
          <w:bCs/>
          <w:color w:val="002F5F" w:themeColor="accent4"/>
        </w:rPr>
        <w:t xml:space="preserve">.1 </w:t>
      </w:r>
      <w:r w:rsidR="006C79C7" w:rsidRPr="00EA0EA1">
        <w:rPr>
          <w:b/>
          <w:bCs/>
          <w:color w:val="002F5F" w:themeColor="accent4"/>
        </w:rPr>
        <w:t>Description of the voting process</w:t>
      </w:r>
      <w:r w:rsidR="004837B2" w:rsidRPr="00EA0EA1">
        <w:rPr>
          <w:b/>
          <w:bCs/>
          <w:color w:val="002F5F" w:themeColor="accent4"/>
        </w:rPr>
        <w:t>es</w:t>
      </w:r>
    </w:p>
    <w:p w14:paraId="32241547" w14:textId="48FA4224" w:rsidR="00F47322" w:rsidRDefault="00D4162A" w:rsidP="007F58DB">
      <w:pPr>
        <w:pStyle w:val="Body"/>
      </w:pPr>
      <w:r>
        <w:t>For assets with voting rights, t</w:t>
      </w:r>
      <w:r w:rsidR="00463A06">
        <w:t>he Trustee</w:t>
      </w:r>
      <w:r w:rsidR="00FF3187">
        <w:t xml:space="preserve"> rel</w:t>
      </w:r>
      <w:r w:rsidR="004D5BAB">
        <w:t>ies</w:t>
      </w:r>
      <w:r w:rsidR="00FF3187">
        <w:t xml:space="preserve"> on the voting policies </w:t>
      </w:r>
      <w:r w:rsidR="00546EC5">
        <w:t xml:space="preserve">which its managers have </w:t>
      </w:r>
      <w:r w:rsidR="00FF3187">
        <w:t>in place</w:t>
      </w:r>
      <w:r w:rsidR="00546EC5">
        <w:t>.</w:t>
      </w:r>
      <w:r w:rsidR="00F6505B">
        <w:t xml:space="preserve"> </w:t>
      </w:r>
      <w:r>
        <w:t>T</w:t>
      </w:r>
      <w:r w:rsidR="00102046">
        <w:t>he Trustee</w:t>
      </w:r>
      <w:r w:rsidR="0081014C">
        <w:t xml:space="preserve"> </w:t>
      </w:r>
      <w:r w:rsidR="00D01894">
        <w:t xml:space="preserve">set its stewardship priorities in the previous Scheme Year, and </w:t>
      </w:r>
      <w:r w:rsidR="00CF59B5">
        <w:t>reviews its managers’ voting and engagement policies against these priorities</w:t>
      </w:r>
      <w:r w:rsidR="00FB403A">
        <w:t xml:space="preserve"> as part of the IS.</w:t>
      </w:r>
    </w:p>
    <w:p w14:paraId="3DC119F9" w14:textId="77777777" w:rsidR="004242E5" w:rsidRDefault="004242E5" w:rsidP="007F58DB">
      <w:pPr>
        <w:pStyle w:val="Body"/>
      </w:pPr>
    </w:p>
    <w:p w14:paraId="17ED376A" w14:textId="77777777" w:rsidR="008A07D0" w:rsidRPr="008A07D0" w:rsidRDefault="008A07D0" w:rsidP="008A07D0">
      <w:pPr>
        <w:pStyle w:val="Body"/>
        <w:rPr>
          <w:b/>
          <w:bCs/>
          <w:u w:val="single"/>
        </w:rPr>
      </w:pPr>
      <w:proofErr w:type="spellStart"/>
      <w:r w:rsidRPr="008A07D0">
        <w:rPr>
          <w:b/>
          <w:bCs/>
          <w:u w:val="single"/>
        </w:rPr>
        <w:lastRenderedPageBreak/>
        <w:t>Arrowstreet</w:t>
      </w:r>
      <w:proofErr w:type="spellEnd"/>
      <w:r w:rsidRPr="008A07D0">
        <w:rPr>
          <w:b/>
          <w:bCs/>
          <w:u w:val="single"/>
        </w:rPr>
        <w:t>: </w:t>
      </w:r>
    </w:p>
    <w:p w14:paraId="46CD0942" w14:textId="77777777" w:rsidR="00C77779" w:rsidRDefault="00B80838" w:rsidP="007F58DB">
      <w:pPr>
        <w:pStyle w:val="Body"/>
      </w:pPr>
      <w:proofErr w:type="spellStart"/>
      <w:r>
        <w:t>Arrowstreet</w:t>
      </w:r>
      <w:proofErr w:type="spellEnd"/>
      <w:r w:rsidRPr="00B80838">
        <w:t xml:space="preserve"> engage</w:t>
      </w:r>
      <w:r>
        <w:t>s</w:t>
      </w:r>
      <w:r w:rsidRPr="00B80838">
        <w:t xml:space="preserve"> a </w:t>
      </w:r>
      <w:r w:rsidR="00F12FB1" w:rsidRPr="00B80838">
        <w:t>third-party</w:t>
      </w:r>
      <w:r w:rsidRPr="00B80838">
        <w:t xml:space="preserve"> service provider to provide proxy-voting services for client accounts</w:t>
      </w:r>
      <w:r w:rsidR="002A56A8">
        <w:t xml:space="preserve">, </w:t>
      </w:r>
      <w:r w:rsidRPr="00B80838">
        <w:t xml:space="preserve">including vote analysis, execution, reporting and certain recordkeeping services. ESG principles are </w:t>
      </w:r>
      <w:proofErr w:type="gramStart"/>
      <w:r w:rsidRPr="00B80838">
        <w:t>taken into account</w:t>
      </w:r>
      <w:proofErr w:type="gramEnd"/>
      <w:r w:rsidRPr="00B80838">
        <w:t xml:space="preserve"> in the service provider’s standard proxy voting policies. </w:t>
      </w:r>
      <w:proofErr w:type="spellStart"/>
      <w:r w:rsidR="00190CE3">
        <w:t>Arrowstreet</w:t>
      </w:r>
      <w:proofErr w:type="spellEnd"/>
      <w:r w:rsidR="00190CE3">
        <w:t xml:space="preserve"> also </w:t>
      </w:r>
      <w:r w:rsidRPr="00B80838">
        <w:t>make</w:t>
      </w:r>
      <w:r w:rsidR="00190CE3">
        <w:t>s</w:t>
      </w:r>
      <w:r w:rsidRPr="00B80838">
        <w:t xml:space="preserve"> available enhanced ESG specific proxy voting services upon request. Proxy voting services are monitored periodically by </w:t>
      </w:r>
      <w:proofErr w:type="spellStart"/>
      <w:r w:rsidR="00190CE3">
        <w:t>Arrowstreet’s</w:t>
      </w:r>
      <w:proofErr w:type="spellEnd"/>
      <w:r w:rsidRPr="00B80838">
        <w:t xml:space="preserve"> Client Operations team.</w:t>
      </w:r>
    </w:p>
    <w:p w14:paraId="07A15CB1" w14:textId="2F64BDAB" w:rsidR="000A1F9F" w:rsidRDefault="00D22D71" w:rsidP="007F58DB">
      <w:pPr>
        <w:pStyle w:val="Body"/>
        <w:rPr>
          <w:b/>
          <w:bCs/>
          <w:u w:val="single"/>
        </w:rPr>
      </w:pPr>
      <w:r w:rsidRPr="00D22D71">
        <w:rPr>
          <w:b/>
          <w:bCs/>
          <w:u w:val="single"/>
        </w:rPr>
        <w:t>Independent Franchise Partners (“IFP”): </w:t>
      </w:r>
    </w:p>
    <w:p w14:paraId="08CB2685" w14:textId="77777777" w:rsidR="00597E01" w:rsidRPr="00CB56AF" w:rsidRDefault="00597E01" w:rsidP="00597E01">
      <w:pPr>
        <w:pStyle w:val="Body"/>
      </w:pPr>
      <w:r w:rsidRPr="00CB56AF">
        <w:t>IFP considers voting as one of its key responsibilities as a long-term shareholder and as an important means of holding managements accountable. IFP votes at all company meetings. Its investment team is responsible for its voting decisions. In practice, this means that the lead investor for each stock decides how IFP votes for each company, with input from its ESG analyst and other members of the team. This structure means that IFP evaluates each resolution in the broader context of the company’s challenges and opportunities. IFP believes this results in more informed voting decisions. IFP’s voting policy provides a framework to ensure consistency of voting decisions. </w:t>
      </w:r>
    </w:p>
    <w:p w14:paraId="0479A2D0" w14:textId="199E7C1E" w:rsidR="0088525A" w:rsidRPr="00CB56AF" w:rsidRDefault="00597E01" w:rsidP="003643AF">
      <w:pPr>
        <w:pStyle w:val="Body"/>
      </w:pPr>
      <w:r w:rsidRPr="00CB56AF">
        <w:t xml:space="preserve">IFP’s voting decisions are based on its own views and investment research. IFP receives voting research and recommendations from </w:t>
      </w:r>
      <w:r w:rsidR="006248D6" w:rsidRPr="006248D6">
        <w:t>Institutional Shareholder Services (</w:t>
      </w:r>
      <w:r w:rsidR="006248D6">
        <w:t>“</w:t>
      </w:r>
      <w:r w:rsidR="006248D6" w:rsidRPr="006248D6">
        <w:t>ISS</w:t>
      </w:r>
      <w:r w:rsidR="006248D6">
        <w:t>”)</w:t>
      </w:r>
      <w:r w:rsidRPr="00CB56AF">
        <w:t>, but this is purely advisory.</w:t>
      </w:r>
      <w:r w:rsidR="00F6505B">
        <w:t xml:space="preserve"> </w:t>
      </w:r>
    </w:p>
    <w:p w14:paraId="47EF7439" w14:textId="7AFE0CC8" w:rsidR="00D22D71" w:rsidRDefault="00D22D71" w:rsidP="007F58DB">
      <w:pPr>
        <w:pStyle w:val="Body"/>
        <w:rPr>
          <w:b/>
          <w:bCs/>
          <w:u w:val="single"/>
        </w:rPr>
      </w:pPr>
      <w:r w:rsidRPr="00D22D71">
        <w:rPr>
          <w:b/>
          <w:bCs/>
          <w:u w:val="single"/>
        </w:rPr>
        <w:t>Lindsell Train Limited (“LTL”): </w:t>
      </w:r>
    </w:p>
    <w:p w14:paraId="64CB86DF" w14:textId="700C5D51" w:rsidR="00AD477F" w:rsidRPr="00CB56AF" w:rsidRDefault="00AD477F" w:rsidP="007F58DB">
      <w:pPr>
        <w:pStyle w:val="Body"/>
      </w:pPr>
      <w:r w:rsidRPr="00CB56AF">
        <w:t xml:space="preserve">The primary objective of the voting policy of LTL is to protect or enhance the economic value of the investments it has made on behalf of its clients. LTL will vote against any agenda item that threatens this economic value, </w:t>
      </w:r>
      <w:proofErr w:type="gramStart"/>
      <w:r w:rsidRPr="00CB56AF">
        <w:t>in particular when</w:t>
      </w:r>
      <w:proofErr w:type="gramEnd"/>
      <w:r w:rsidRPr="00CB56AF">
        <w:t xml:space="preserve"> </w:t>
      </w:r>
      <w:r w:rsidR="00422F22">
        <w:t>they</w:t>
      </w:r>
      <w:r w:rsidRPr="00CB56AF">
        <w:t xml:space="preserve"> have concerns over inappropriate management remuneration or incentives, general corporate governance matters, environmental and social issues, changes in capital structure and mergers or acquisitions which are seen as detrimental to the creation of business value. </w:t>
      </w:r>
    </w:p>
    <w:p w14:paraId="4B8FEBC6" w14:textId="77777777" w:rsidR="00AD477F" w:rsidRPr="00CB56AF" w:rsidRDefault="00AD477F" w:rsidP="007F58DB">
      <w:pPr>
        <w:pStyle w:val="Body"/>
      </w:pPr>
      <w:r w:rsidRPr="00CB56AF">
        <w:t xml:space="preserve">Where LTL has delegated voting authority from its clients, LTL recognises that the exercise of these voting rights is a fiduciary duty that must be exercised with skill, care, prudence, and diligence. </w:t>
      </w:r>
    </w:p>
    <w:p w14:paraId="489114D0" w14:textId="232DB85C" w:rsidR="00AD477F" w:rsidRPr="00CB56AF" w:rsidRDefault="00AD477F" w:rsidP="007F58DB">
      <w:pPr>
        <w:pStyle w:val="Body"/>
      </w:pPr>
      <w:r w:rsidRPr="00CB56AF">
        <w:t xml:space="preserve">LTL believes that proxy voting forms an important part of </w:t>
      </w:r>
      <w:r w:rsidR="002A75C2">
        <w:t>its</w:t>
      </w:r>
      <w:r w:rsidR="007A34E0" w:rsidRPr="00CB56AF">
        <w:t xml:space="preserve"> </w:t>
      </w:r>
      <w:r w:rsidRPr="00CB56AF">
        <w:t xml:space="preserve">investment process and proactive company engagement strategy. LTL’s Portfolio Managers maintain final </w:t>
      </w:r>
      <w:proofErr w:type="gramStart"/>
      <w:r w:rsidRPr="00CB56AF">
        <w:t>decision making</w:t>
      </w:r>
      <w:proofErr w:type="gramEnd"/>
      <w:r w:rsidRPr="00CB56AF">
        <w:t xml:space="preserve"> responsibility for all votes, based on their detailed knowledge of the companies in which </w:t>
      </w:r>
      <w:r w:rsidR="002A75C2">
        <w:t xml:space="preserve">they </w:t>
      </w:r>
      <w:r w:rsidRPr="00CB56AF">
        <w:t xml:space="preserve">invest. LTL has appointed an independent proxy agent, Glass Lewis to assist with the administration of the proxy voting process. LTL’s Investment Team use Glass Lewis’ Viewpoint platform to process votes and provide enhanced reporting to </w:t>
      </w:r>
      <w:r w:rsidR="004B5A9A">
        <w:t>its</w:t>
      </w:r>
      <w:r w:rsidR="004B5A9A" w:rsidRPr="00CB56AF">
        <w:t xml:space="preserve"> </w:t>
      </w:r>
      <w:r w:rsidRPr="00CB56AF">
        <w:t xml:space="preserve">clients. Additionally, Glass Lewis provides supplementary research and analysis. LTL will </w:t>
      </w:r>
      <w:proofErr w:type="gramStart"/>
      <w:r w:rsidRPr="00CB56AF">
        <w:t>give consideration to</w:t>
      </w:r>
      <w:proofErr w:type="gramEnd"/>
      <w:r w:rsidRPr="00CB56AF">
        <w:t xml:space="preserve"> Glass Lewis’ own voting recommendations but will not necessarily support their position if it is not viewed by LTL as in the best interests of </w:t>
      </w:r>
      <w:r w:rsidR="004B5A9A">
        <w:t>its</w:t>
      </w:r>
      <w:r w:rsidR="004B5A9A" w:rsidRPr="00CB56AF">
        <w:t xml:space="preserve"> </w:t>
      </w:r>
      <w:r w:rsidRPr="00CB56AF">
        <w:t xml:space="preserve">clients. Voting authority remains with LTL, </w:t>
      </w:r>
      <w:proofErr w:type="gramStart"/>
      <w:r w:rsidRPr="00CB56AF">
        <w:t>with the exception of</w:t>
      </w:r>
      <w:proofErr w:type="gramEnd"/>
      <w:r w:rsidRPr="00CB56AF">
        <w:t xml:space="preserve"> receiving specific client instructions. </w:t>
      </w:r>
    </w:p>
    <w:p w14:paraId="78D232A2" w14:textId="138F924A" w:rsidR="006A14AA" w:rsidRPr="00CB56AF" w:rsidRDefault="00AD477F" w:rsidP="007F58DB">
      <w:pPr>
        <w:pStyle w:val="Body"/>
      </w:pPr>
      <w:r w:rsidRPr="00CB56AF">
        <w:t xml:space="preserve">LTL votes on behalf of its clients in accordance with its own Proxy Voting Guidelines which govern, under each voting category, whether to vote For, Against or Abstain. These guidelines are approved collectively by the Portfolio </w:t>
      </w:r>
      <w:proofErr w:type="gramStart"/>
      <w:r w:rsidRPr="00CB56AF">
        <w:t>Managers</w:t>
      </w:r>
      <w:proofErr w:type="gramEnd"/>
      <w:r w:rsidRPr="00CB56AF">
        <w:t xml:space="preserve"> and </w:t>
      </w:r>
      <w:r w:rsidR="004242E5">
        <w:t xml:space="preserve">they </w:t>
      </w:r>
      <w:r w:rsidRPr="00CB56AF">
        <w:t>are reviewed annually.</w:t>
      </w:r>
    </w:p>
    <w:p w14:paraId="54D804A9" w14:textId="77777777" w:rsidR="005635E0" w:rsidRPr="00CB56AF" w:rsidRDefault="005635E0" w:rsidP="005635E0">
      <w:pPr>
        <w:pStyle w:val="Body"/>
        <w:rPr>
          <w:b/>
          <w:bCs/>
          <w:u w:val="single"/>
        </w:rPr>
      </w:pPr>
      <w:r w:rsidRPr="00CB56AF">
        <w:rPr>
          <w:b/>
          <w:bCs/>
          <w:u w:val="single"/>
        </w:rPr>
        <w:t>WCM Investment Management (“WCM”): </w:t>
      </w:r>
    </w:p>
    <w:p w14:paraId="7E37A427" w14:textId="315AF365" w:rsidR="005635E0" w:rsidRPr="00CB56AF" w:rsidRDefault="005635E0" w:rsidP="005635E0">
      <w:pPr>
        <w:pStyle w:val="Body"/>
      </w:pPr>
      <w:r w:rsidRPr="00CB56AF">
        <w:t>WCM uses Glass Lewis for its proxy voting services.</w:t>
      </w:r>
      <w:r w:rsidR="00F6505B">
        <w:t xml:space="preserve"> </w:t>
      </w:r>
    </w:p>
    <w:p w14:paraId="567CAA8A" w14:textId="610BA90A" w:rsidR="00093694" w:rsidRPr="00EA0EA1" w:rsidRDefault="00BF22D2" w:rsidP="00F52DA7">
      <w:pPr>
        <w:pStyle w:val="Body"/>
        <w:keepNext/>
        <w:rPr>
          <w:b/>
          <w:bCs/>
          <w:color w:val="002F5F" w:themeColor="accent4"/>
        </w:rPr>
      </w:pPr>
      <w:r>
        <w:rPr>
          <w:b/>
          <w:bCs/>
          <w:color w:val="002F5F" w:themeColor="accent4"/>
        </w:rPr>
        <w:t>3</w:t>
      </w:r>
      <w:r w:rsidR="0078052D" w:rsidRPr="00EA0EA1">
        <w:rPr>
          <w:b/>
          <w:bCs/>
          <w:color w:val="002F5F" w:themeColor="accent4"/>
        </w:rPr>
        <w:t xml:space="preserve">.2 </w:t>
      </w:r>
      <w:r w:rsidR="000131E3" w:rsidRPr="00EA0EA1">
        <w:rPr>
          <w:b/>
          <w:bCs/>
          <w:color w:val="002F5F" w:themeColor="accent4"/>
        </w:rPr>
        <w:t>Summary of voting behaviour</w:t>
      </w:r>
    </w:p>
    <w:p w14:paraId="06F15594" w14:textId="2E9EC062" w:rsidR="00C77779" w:rsidRDefault="00316813" w:rsidP="00C5746C">
      <w:pPr>
        <w:pStyle w:val="Body"/>
        <w:rPr>
          <w:rStyle w:val="normaltextrun"/>
          <w:color w:val="000000"/>
          <w:szCs w:val="20"/>
          <w:bdr w:val="none" w:sz="0" w:space="0" w:color="auto" w:frame="1"/>
        </w:rPr>
      </w:pPr>
      <w:r>
        <w:t xml:space="preserve">A summary of voting behaviour over the </w:t>
      </w:r>
      <w:r w:rsidR="009D6AA6">
        <w:t xml:space="preserve">Scheme </w:t>
      </w:r>
      <w:r w:rsidR="00687C3E">
        <w:t>Year</w:t>
      </w:r>
      <w:r>
        <w:t xml:space="preserve"> is provided in the table below.</w:t>
      </w:r>
      <w:r w:rsidR="00A66E87">
        <w:rPr>
          <w:i/>
          <w:iCs/>
        </w:rPr>
        <w:t xml:space="preserve"> </w:t>
      </w:r>
      <w:r w:rsidR="00A66E87">
        <w:rPr>
          <w:rStyle w:val="normaltextrun"/>
          <w:color w:val="000000"/>
          <w:szCs w:val="20"/>
          <w:bdr w:val="none" w:sz="0" w:space="0" w:color="auto" w:frame="1"/>
        </w:rPr>
        <w:t>Some percentages may not sum to 100% due to rounding.</w:t>
      </w:r>
    </w:p>
    <w:p w14:paraId="1B474818" w14:textId="77777777" w:rsidR="00C77779" w:rsidRDefault="00C77779" w:rsidP="00C77779">
      <w:pPr>
        <w:pStyle w:val="Body"/>
        <w:rPr>
          <w:rStyle w:val="normaltextrun"/>
          <w:color w:val="000000"/>
          <w:szCs w:val="20"/>
          <w:bdr w:val="none" w:sz="0" w:space="0" w:color="auto" w:frame="1"/>
        </w:rPr>
      </w:pPr>
      <w:r>
        <w:rPr>
          <w:rStyle w:val="normaltextrun"/>
          <w:color w:val="000000"/>
          <w:szCs w:val="20"/>
          <w:bdr w:val="none" w:sz="0" w:space="0" w:color="auto" w:frame="1"/>
        </w:rPr>
        <w:br w:type="page"/>
      </w:r>
    </w:p>
    <w:p w14:paraId="5FBB46FA" w14:textId="77777777" w:rsidR="00316813" w:rsidRDefault="00316813" w:rsidP="00C5746C">
      <w:pPr>
        <w:pStyle w:val="Body"/>
      </w:pPr>
    </w:p>
    <w:tbl>
      <w:tblPr>
        <w:tblStyle w:val="TableGrid"/>
        <w:tblW w:w="9923" w:type="dxa"/>
        <w:tblLook w:val="04A0" w:firstRow="1" w:lastRow="0" w:firstColumn="1" w:lastColumn="0" w:noHBand="0" w:noVBand="1"/>
      </w:tblPr>
      <w:tblGrid>
        <w:gridCol w:w="2315"/>
        <w:gridCol w:w="1902"/>
        <w:gridCol w:w="1902"/>
        <w:gridCol w:w="1902"/>
        <w:gridCol w:w="1902"/>
      </w:tblGrid>
      <w:tr w:rsidR="00236B08" w14:paraId="6FA8E31E" w14:textId="3B33FAEA" w:rsidTr="00153D8D">
        <w:trPr>
          <w:trHeight w:val="300"/>
        </w:trPr>
        <w:tc>
          <w:tcPr>
            <w:tcW w:w="2315" w:type="dxa"/>
            <w:tcBorders>
              <w:top w:val="nil"/>
              <w:left w:val="nil"/>
              <w:bottom w:val="nil"/>
              <w:right w:val="nil"/>
            </w:tcBorders>
            <w:shd w:val="clear" w:color="auto" w:fill="8DA8AD" w:themeFill="accent1"/>
            <w:vAlign w:val="center"/>
          </w:tcPr>
          <w:p w14:paraId="27D7FAED" w14:textId="77777777" w:rsidR="00236B08" w:rsidRPr="00893805" w:rsidRDefault="00236B08" w:rsidP="00236B08">
            <w:pPr>
              <w:pStyle w:val="Body"/>
              <w:spacing w:before="60" w:after="60"/>
              <w:rPr>
                <w:b/>
                <w:bCs/>
              </w:rPr>
            </w:pPr>
          </w:p>
        </w:tc>
        <w:tc>
          <w:tcPr>
            <w:tcW w:w="1902" w:type="dxa"/>
            <w:tcBorders>
              <w:top w:val="nil"/>
              <w:left w:val="nil"/>
              <w:bottom w:val="nil"/>
              <w:right w:val="nil"/>
            </w:tcBorders>
            <w:shd w:val="clear" w:color="auto" w:fill="8DA8AD" w:themeFill="accent1"/>
            <w:vAlign w:val="center"/>
          </w:tcPr>
          <w:p w14:paraId="23C21B2F" w14:textId="415A0671" w:rsidR="00236B08" w:rsidRPr="00656CC0" w:rsidRDefault="009E41FF" w:rsidP="00236B08">
            <w:pPr>
              <w:pStyle w:val="Body"/>
              <w:spacing w:before="60" w:after="60"/>
              <w:rPr>
                <w:b/>
                <w:bCs/>
                <w:color w:val="FFFFFF" w:themeColor="background1"/>
                <w:vertAlign w:val="superscript"/>
              </w:rPr>
            </w:pPr>
            <w:r>
              <w:rPr>
                <w:b/>
                <w:bCs/>
                <w:color w:val="FFFFFF" w:themeColor="background1"/>
              </w:rPr>
              <w:t>Arrowstreet</w:t>
            </w:r>
            <w:r w:rsidR="00656CC0">
              <w:rPr>
                <w:b/>
                <w:bCs/>
                <w:color w:val="FFFFFF" w:themeColor="background1"/>
                <w:vertAlign w:val="superscript"/>
              </w:rPr>
              <w:t>1</w:t>
            </w:r>
          </w:p>
        </w:tc>
        <w:tc>
          <w:tcPr>
            <w:tcW w:w="1902" w:type="dxa"/>
            <w:tcBorders>
              <w:top w:val="nil"/>
              <w:left w:val="nil"/>
              <w:bottom w:val="nil"/>
              <w:right w:val="nil"/>
            </w:tcBorders>
            <w:shd w:val="clear" w:color="auto" w:fill="8DA8AD" w:themeFill="accent1"/>
            <w:vAlign w:val="center"/>
          </w:tcPr>
          <w:p w14:paraId="68999FAE" w14:textId="2C067472" w:rsidR="00236B08" w:rsidRPr="00893805" w:rsidRDefault="009E41FF" w:rsidP="00236B08">
            <w:pPr>
              <w:pStyle w:val="Body"/>
              <w:spacing w:before="60" w:after="60"/>
              <w:rPr>
                <w:b/>
                <w:bCs/>
                <w:color w:val="FFFFFF" w:themeColor="background1"/>
              </w:rPr>
            </w:pPr>
            <w:r>
              <w:rPr>
                <w:b/>
                <w:bCs/>
                <w:color w:val="FFFFFF" w:themeColor="background1"/>
              </w:rPr>
              <w:t>IFP</w:t>
            </w:r>
            <w:r w:rsidR="00656CC0">
              <w:rPr>
                <w:b/>
                <w:bCs/>
                <w:color w:val="FFFFFF" w:themeColor="background1"/>
                <w:vertAlign w:val="superscript"/>
              </w:rPr>
              <w:t>2</w:t>
            </w:r>
          </w:p>
        </w:tc>
        <w:tc>
          <w:tcPr>
            <w:tcW w:w="1902" w:type="dxa"/>
            <w:tcBorders>
              <w:top w:val="nil"/>
              <w:left w:val="nil"/>
              <w:bottom w:val="nil"/>
              <w:right w:val="nil"/>
            </w:tcBorders>
            <w:shd w:val="clear" w:color="auto" w:fill="8DA8AD" w:themeFill="accent1"/>
            <w:vAlign w:val="center"/>
          </w:tcPr>
          <w:p w14:paraId="688FCC98" w14:textId="3F8FB0B5" w:rsidR="00236B08" w:rsidRPr="00893805" w:rsidRDefault="009E41FF" w:rsidP="00236B08">
            <w:pPr>
              <w:pStyle w:val="Body"/>
              <w:spacing w:before="60" w:after="60"/>
              <w:rPr>
                <w:b/>
                <w:bCs/>
                <w:color w:val="FFFFFF" w:themeColor="background1"/>
              </w:rPr>
            </w:pPr>
            <w:r>
              <w:rPr>
                <w:b/>
                <w:bCs/>
                <w:color w:val="FFFFFF" w:themeColor="background1"/>
              </w:rPr>
              <w:t>LTL</w:t>
            </w:r>
          </w:p>
        </w:tc>
        <w:tc>
          <w:tcPr>
            <w:tcW w:w="1902" w:type="dxa"/>
            <w:tcBorders>
              <w:top w:val="nil"/>
              <w:left w:val="nil"/>
              <w:bottom w:val="nil"/>
              <w:right w:val="nil"/>
            </w:tcBorders>
            <w:shd w:val="clear" w:color="auto" w:fill="8DA8AD" w:themeFill="accent1"/>
            <w:vAlign w:val="center"/>
          </w:tcPr>
          <w:p w14:paraId="74D75760" w14:textId="067AE9AC" w:rsidR="00236B08" w:rsidRPr="00893805" w:rsidRDefault="009E41FF" w:rsidP="00236B08">
            <w:pPr>
              <w:pStyle w:val="Body"/>
              <w:spacing w:before="60" w:after="60"/>
              <w:rPr>
                <w:b/>
                <w:bCs/>
                <w:color w:val="FFFFFF" w:themeColor="background1"/>
              </w:rPr>
            </w:pPr>
            <w:r>
              <w:rPr>
                <w:b/>
                <w:bCs/>
                <w:color w:val="FFFFFF" w:themeColor="background1"/>
              </w:rPr>
              <w:t>WCM</w:t>
            </w:r>
          </w:p>
        </w:tc>
      </w:tr>
      <w:tr w:rsidR="00236B08" w14:paraId="1140805B" w14:textId="42028054" w:rsidTr="00153D8D">
        <w:tc>
          <w:tcPr>
            <w:tcW w:w="2315" w:type="dxa"/>
            <w:tcBorders>
              <w:top w:val="single" w:sz="4" w:space="0" w:color="628288" w:themeColor="accent1" w:themeShade="BF"/>
              <w:left w:val="nil"/>
              <w:bottom w:val="single" w:sz="4" w:space="0" w:color="628288" w:themeColor="accent1" w:themeShade="BF"/>
              <w:right w:val="nil"/>
            </w:tcBorders>
          </w:tcPr>
          <w:p w14:paraId="24268BC9" w14:textId="77777777" w:rsidR="00236B08" w:rsidRPr="003132F3" w:rsidRDefault="00236B08" w:rsidP="00236B08">
            <w:pPr>
              <w:pStyle w:val="Body"/>
              <w:spacing w:after="60"/>
              <w:rPr>
                <w:szCs w:val="20"/>
              </w:rPr>
            </w:pPr>
            <w:r w:rsidRPr="003132F3">
              <w:rPr>
                <w:szCs w:val="20"/>
              </w:rPr>
              <w:t>Fund name</w:t>
            </w:r>
          </w:p>
        </w:tc>
        <w:tc>
          <w:tcPr>
            <w:tcW w:w="1902" w:type="dxa"/>
            <w:tcBorders>
              <w:top w:val="single" w:sz="4" w:space="0" w:color="628288" w:themeColor="accent1" w:themeShade="BF"/>
              <w:left w:val="nil"/>
              <w:bottom w:val="single" w:sz="4" w:space="0" w:color="628288" w:themeColor="accent1" w:themeShade="BF"/>
              <w:right w:val="nil"/>
            </w:tcBorders>
          </w:tcPr>
          <w:p w14:paraId="75CD6546" w14:textId="3F2AEBCC" w:rsidR="00236B08" w:rsidRPr="00CB56AF" w:rsidRDefault="00236B08" w:rsidP="00153D8D">
            <w:pPr>
              <w:jc w:val="center"/>
              <w:rPr>
                <w:color w:val="auto"/>
                <w:szCs w:val="20"/>
              </w:rPr>
            </w:pPr>
            <w:r w:rsidRPr="00CB56AF">
              <w:rPr>
                <w:color w:val="auto"/>
                <w:sz w:val="20"/>
                <w:szCs w:val="20"/>
              </w:rPr>
              <w:t xml:space="preserve">Global Equity </w:t>
            </w:r>
            <w:r w:rsidR="000307D5">
              <w:rPr>
                <w:color w:val="auto"/>
                <w:sz w:val="20"/>
                <w:szCs w:val="20"/>
              </w:rPr>
              <w:t>Fund</w:t>
            </w:r>
          </w:p>
        </w:tc>
        <w:tc>
          <w:tcPr>
            <w:tcW w:w="1902" w:type="dxa"/>
            <w:tcBorders>
              <w:top w:val="single" w:sz="4" w:space="0" w:color="628288" w:themeColor="accent1" w:themeShade="BF"/>
              <w:left w:val="nil"/>
              <w:bottom w:val="single" w:sz="4" w:space="0" w:color="628288" w:themeColor="accent1" w:themeShade="BF"/>
              <w:right w:val="nil"/>
            </w:tcBorders>
          </w:tcPr>
          <w:p w14:paraId="63B324AA" w14:textId="6CA4D2D0" w:rsidR="00236B08" w:rsidRPr="00CB56AF" w:rsidRDefault="00783563" w:rsidP="00153D8D">
            <w:pPr>
              <w:jc w:val="center"/>
              <w:rPr>
                <w:color w:val="auto"/>
                <w:szCs w:val="20"/>
              </w:rPr>
            </w:pPr>
            <w:r>
              <w:rPr>
                <w:color w:val="auto"/>
                <w:sz w:val="20"/>
                <w:szCs w:val="20"/>
              </w:rPr>
              <w:t xml:space="preserve">Global Equities – segregated </w:t>
            </w:r>
            <w:r w:rsidR="00913B1C">
              <w:rPr>
                <w:color w:val="auto"/>
                <w:sz w:val="20"/>
                <w:szCs w:val="20"/>
              </w:rPr>
              <w:t>account</w:t>
            </w:r>
          </w:p>
        </w:tc>
        <w:tc>
          <w:tcPr>
            <w:tcW w:w="1902" w:type="dxa"/>
            <w:tcBorders>
              <w:top w:val="single" w:sz="4" w:space="0" w:color="628288" w:themeColor="accent1" w:themeShade="BF"/>
              <w:left w:val="nil"/>
              <w:bottom w:val="single" w:sz="4" w:space="0" w:color="628288" w:themeColor="accent1" w:themeShade="BF"/>
              <w:right w:val="nil"/>
            </w:tcBorders>
          </w:tcPr>
          <w:p w14:paraId="6A927FDF" w14:textId="0A387060" w:rsidR="00236B08" w:rsidRPr="00CB56AF" w:rsidRDefault="00236B08" w:rsidP="00153D8D">
            <w:pPr>
              <w:jc w:val="center"/>
              <w:rPr>
                <w:color w:val="auto"/>
                <w:szCs w:val="20"/>
              </w:rPr>
            </w:pPr>
            <w:r w:rsidRPr="00CB56AF">
              <w:rPr>
                <w:color w:val="auto"/>
                <w:sz w:val="20"/>
                <w:szCs w:val="20"/>
              </w:rPr>
              <w:t>Global Equity Fund</w:t>
            </w:r>
          </w:p>
        </w:tc>
        <w:tc>
          <w:tcPr>
            <w:tcW w:w="1902" w:type="dxa"/>
            <w:tcBorders>
              <w:top w:val="single" w:sz="4" w:space="0" w:color="628288" w:themeColor="accent1" w:themeShade="BF"/>
              <w:left w:val="nil"/>
              <w:bottom w:val="single" w:sz="4" w:space="0" w:color="628288" w:themeColor="accent1" w:themeShade="BF"/>
              <w:right w:val="nil"/>
            </w:tcBorders>
          </w:tcPr>
          <w:p w14:paraId="194ED3CE" w14:textId="388BCF82" w:rsidR="00236B08" w:rsidRPr="00CB56AF" w:rsidRDefault="00236B08" w:rsidP="00153D8D">
            <w:pPr>
              <w:jc w:val="center"/>
              <w:rPr>
                <w:color w:val="auto"/>
                <w:sz w:val="20"/>
                <w:szCs w:val="20"/>
              </w:rPr>
            </w:pPr>
            <w:r w:rsidRPr="00CB56AF">
              <w:rPr>
                <w:color w:val="auto"/>
                <w:sz w:val="20"/>
                <w:szCs w:val="20"/>
              </w:rPr>
              <w:t xml:space="preserve">Quality Global Growth </w:t>
            </w:r>
            <w:r w:rsidR="00474A27">
              <w:rPr>
                <w:color w:val="auto"/>
                <w:sz w:val="20"/>
                <w:szCs w:val="20"/>
              </w:rPr>
              <w:t>Fund</w:t>
            </w:r>
          </w:p>
          <w:p w14:paraId="2BC183A9" w14:textId="77777777" w:rsidR="00236B08" w:rsidRPr="00CB56AF" w:rsidRDefault="00236B08" w:rsidP="00153D8D">
            <w:pPr>
              <w:jc w:val="center"/>
              <w:rPr>
                <w:color w:val="auto"/>
                <w:sz w:val="20"/>
                <w:szCs w:val="20"/>
              </w:rPr>
            </w:pPr>
          </w:p>
        </w:tc>
      </w:tr>
      <w:tr w:rsidR="00236B08" w14:paraId="43FB5D63" w14:textId="471940D8" w:rsidTr="00FB3485">
        <w:tc>
          <w:tcPr>
            <w:tcW w:w="2315" w:type="dxa"/>
            <w:tcBorders>
              <w:top w:val="single" w:sz="4" w:space="0" w:color="628288" w:themeColor="accent1" w:themeShade="BF"/>
              <w:left w:val="nil"/>
              <w:bottom w:val="single" w:sz="4" w:space="0" w:color="628288" w:themeColor="accent1" w:themeShade="BF"/>
              <w:right w:val="nil"/>
            </w:tcBorders>
          </w:tcPr>
          <w:p w14:paraId="0E1EC8F5" w14:textId="10D0D26F" w:rsidR="00236B08" w:rsidRPr="003132F3" w:rsidRDefault="00236B08" w:rsidP="00236B08">
            <w:pPr>
              <w:pStyle w:val="Body"/>
              <w:spacing w:after="60"/>
              <w:rPr>
                <w:szCs w:val="20"/>
              </w:rPr>
            </w:pPr>
            <w:r w:rsidRPr="003132F3">
              <w:rPr>
                <w:szCs w:val="20"/>
              </w:rPr>
              <w:t>Total size of fund at end of the Scheme Year</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60E73ACF" w14:textId="447B4DCC" w:rsidR="00236B08" w:rsidRPr="00260A7F" w:rsidRDefault="00824241" w:rsidP="00FB3485">
            <w:pPr>
              <w:jc w:val="center"/>
              <w:rPr>
                <w:color w:val="auto"/>
                <w:sz w:val="20"/>
                <w:szCs w:val="20"/>
              </w:rPr>
            </w:pPr>
            <w:r w:rsidRPr="00260A7F">
              <w:rPr>
                <w:color w:val="auto"/>
                <w:sz w:val="20"/>
                <w:szCs w:val="20"/>
              </w:rPr>
              <w:t>£</w:t>
            </w:r>
            <w:r w:rsidR="00236B08" w:rsidRPr="00260A7F">
              <w:rPr>
                <w:color w:val="auto"/>
                <w:sz w:val="20"/>
                <w:szCs w:val="20"/>
              </w:rPr>
              <w:t>1,417m</w:t>
            </w:r>
          </w:p>
          <w:p w14:paraId="4E10176D" w14:textId="77777777" w:rsidR="00236B08" w:rsidRPr="00260A7F" w:rsidRDefault="00236B08" w:rsidP="00FB3485">
            <w:pPr>
              <w:pStyle w:val="Body"/>
              <w:spacing w:after="60"/>
              <w:jc w:val="center"/>
              <w:rPr>
                <w:color w:val="auto"/>
                <w:szCs w:val="20"/>
              </w:rPr>
            </w:pP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5A5F81D2" w14:textId="40BD97F4" w:rsidR="00236B08" w:rsidRPr="00CB56AF" w:rsidRDefault="00153D8D" w:rsidP="00FB3485">
            <w:pPr>
              <w:pStyle w:val="Body"/>
              <w:spacing w:after="60"/>
              <w:jc w:val="center"/>
              <w:rPr>
                <w:color w:val="auto"/>
                <w:szCs w:val="20"/>
              </w:rPr>
            </w:pPr>
            <w:r>
              <w:rPr>
                <w:color w:val="auto"/>
                <w:szCs w:val="20"/>
              </w:rPr>
              <w:t>n</w:t>
            </w:r>
            <w:r w:rsidR="005F66EB" w:rsidRPr="00260A7F">
              <w:rPr>
                <w:color w:val="auto"/>
                <w:szCs w:val="20"/>
              </w:rPr>
              <w:t>/a</w:t>
            </w:r>
            <w:r w:rsidR="007E465F" w:rsidRPr="00260A7F">
              <w:rPr>
                <w:color w:val="auto"/>
                <w:szCs w:val="20"/>
              </w:rPr>
              <w:t xml:space="preserve"> – segregated account.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1D042B3C" w14:textId="146A002D" w:rsidR="00236B08" w:rsidRPr="00FA3AE4" w:rsidRDefault="00824241" w:rsidP="00FB3485">
            <w:pPr>
              <w:jc w:val="center"/>
            </w:pPr>
            <w:r w:rsidRPr="00FA3AE4">
              <w:rPr>
                <w:color w:val="auto"/>
                <w:sz w:val="20"/>
                <w:szCs w:val="20"/>
              </w:rPr>
              <w:t>£</w:t>
            </w:r>
            <w:r w:rsidR="005F17B3">
              <w:rPr>
                <w:color w:val="auto"/>
                <w:sz w:val="20"/>
                <w:szCs w:val="20"/>
              </w:rPr>
              <w:t>4,525</w:t>
            </w:r>
            <w:r w:rsidR="00236B08" w:rsidRPr="00FA3AE4">
              <w:rPr>
                <w:color w:val="auto"/>
                <w:sz w:val="20"/>
                <w:szCs w:val="20"/>
              </w:rPr>
              <w:t>m</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619A2BD9" w14:textId="279FBCEA" w:rsidR="00236B08" w:rsidRPr="00CB56AF" w:rsidRDefault="00F27C2C" w:rsidP="00FB3485">
            <w:pPr>
              <w:jc w:val="center"/>
              <w:rPr>
                <w:color w:val="auto"/>
                <w:sz w:val="20"/>
                <w:szCs w:val="20"/>
              </w:rPr>
            </w:pPr>
            <w:r w:rsidRPr="00CB56AF">
              <w:rPr>
                <w:color w:val="auto"/>
                <w:sz w:val="20"/>
                <w:szCs w:val="20"/>
              </w:rPr>
              <w:t>£</w:t>
            </w:r>
            <w:r w:rsidR="00236B08" w:rsidRPr="00CB56AF">
              <w:rPr>
                <w:color w:val="auto"/>
                <w:sz w:val="20"/>
                <w:szCs w:val="20"/>
              </w:rPr>
              <w:t>14,260m</w:t>
            </w:r>
          </w:p>
        </w:tc>
      </w:tr>
      <w:tr w:rsidR="00260A7F" w14:paraId="52D22886" w14:textId="77777777" w:rsidTr="00FB3485">
        <w:tc>
          <w:tcPr>
            <w:tcW w:w="2315" w:type="dxa"/>
            <w:tcBorders>
              <w:top w:val="single" w:sz="4" w:space="0" w:color="628288" w:themeColor="accent1" w:themeShade="BF"/>
              <w:left w:val="nil"/>
              <w:bottom w:val="single" w:sz="4" w:space="0" w:color="628288" w:themeColor="accent1" w:themeShade="BF"/>
              <w:right w:val="nil"/>
            </w:tcBorders>
          </w:tcPr>
          <w:p w14:paraId="57943791" w14:textId="23EA56D2" w:rsidR="00260A7F" w:rsidRPr="003132F3" w:rsidRDefault="00260A7F" w:rsidP="00236B08">
            <w:pPr>
              <w:pStyle w:val="Body"/>
              <w:spacing w:after="60"/>
              <w:rPr>
                <w:szCs w:val="20"/>
              </w:rPr>
            </w:pPr>
            <w:r w:rsidRPr="008B69D4">
              <w:rPr>
                <w:szCs w:val="20"/>
              </w:rPr>
              <w:t>Value of Scheme assets at start of the Scheme Year)</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6C249E59" w14:textId="1865DB9B" w:rsidR="00260A7F" w:rsidRPr="00260A7F" w:rsidRDefault="00260A7F" w:rsidP="00FB3485">
            <w:pPr>
              <w:jc w:val="center"/>
              <w:rPr>
                <w:color w:val="auto"/>
                <w:sz w:val="20"/>
                <w:szCs w:val="20"/>
                <w:highlight w:val="yellow"/>
              </w:rPr>
            </w:pPr>
            <w:r w:rsidRPr="00260A7F">
              <w:rPr>
                <w:color w:val="auto"/>
                <w:sz w:val="20"/>
                <w:szCs w:val="20"/>
              </w:rPr>
              <w:t>£52.2m</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53DBB304" w14:textId="612824E3" w:rsidR="00260A7F" w:rsidRPr="00260A7F" w:rsidRDefault="00260A7F" w:rsidP="00FB3485">
            <w:pPr>
              <w:pStyle w:val="Body"/>
              <w:spacing w:after="60"/>
              <w:jc w:val="center"/>
              <w:rPr>
                <w:color w:val="auto"/>
                <w:szCs w:val="20"/>
                <w:highlight w:val="yellow"/>
              </w:rPr>
            </w:pPr>
            <w:r w:rsidRPr="00260A7F">
              <w:rPr>
                <w:color w:val="auto"/>
                <w:szCs w:val="20"/>
              </w:rPr>
              <w:t>£37.3m</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2E6F95DE" w14:textId="1674A9C2" w:rsidR="00260A7F" w:rsidRPr="00260A7F" w:rsidRDefault="00260A7F" w:rsidP="00FB3485">
            <w:pPr>
              <w:jc w:val="center"/>
              <w:rPr>
                <w:color w:val="auto"/>
                <w:sz w:val="20"/>
                <w:szCs w:val="20"/>
              </w:rPr>
            </w:pPr>
            <w:r w:rsidRPr="00260A7F">
              <w:rPr>
                <w:color w:val="auto"/>
                <w:sz w:val="20"/>
                <w:szCs w:val="20"/>
              </w:rPr>
              <w:t>£20.2m</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09D53154" w14:textId="47368298" w:rsidR="00260A7F" w:rsidRPr="00260A7F" w:rsidRDefault="00260A7F" w:rsidP="00FB3485">
            <w:pPr>
              <w:jc w:val="center"/>
              <w:rPr>
                <w:color w:val="auto"/>
                <w:sz w:val="20"/>
                <w:szCs w:val="20"/>
              </w:rPr>
            </w:pPr>
            <w:r w:rsidRPr="00260A7F">
              <w:rPr>
                <w:color w:val="auto"/>
                <w:sz w:val="20"/>
                <w:szCs w:val="20"/>
              </w:rPr>
              <w:t>£27.1m</w:t>
            </w:r>
          </w:p>
        </w:tc>
      </w:tr>
      <w:tr w:rsidR="00346504" w14:paraId="0D0BA83C" w14:textId="1F55773F" w:rsidTr="00FB3485">
        <w:tc>
          <w:tcPr>
            <w:tcW w:w="2315" w:type="dxa"/>
            <w:tcBorders>
              <w:top w:val="single" w:sz="4" w:space="0" w:color="628288" w:themeColor="accent1" w:themeShade="BF"/>
              <w:left w:val="nil"/>
              <w:bottom w:val="single" w:sz="4" w:space="0" w:color="628288" w:themeColor="accent1" w:themeShade="BF"/>
              <w:right w:val="nil"/>
            </w:tcBorders>
          </w:tcPr>
          <w:p w14:paraId="7288DD93" w14:textId="5C92CB97" w:rsidR="00346504" w:rsidRPr="003132F3" w:rsidRDefault="00346504" w:rsidP="00346504">
            <w:pPr>
              <w:pStyle w:val="Body"/>
              <w:spacing w:after="60"/>
              <w:rPr>
                <w:szCs w:val="20"/>
              </w:rPr>
            </w:pPr>
            <w:r w:rsidRPr="003132F3">
              <w:rPr>
                <w:szCs w:val="20"/>
              </w:rPr>
              <w:t>Value of Scheme assets at end of the Scheme Year (£ / % of total assets)</w:t>
            </w:r>
          </w:p>
        </w:tc>
        <w:tc>
          <w:tcPr>
            <w:tcW w:w="7608" w:type="dxa"/>
            <w:gridSpan w:val="4"/>
            <w:tcBorders>
              <w:top w:val="single" w:sz="4" w:space="0" w:color="628288" w:themeColor="accent1" w:themeShade="BF"/>
              <w:left w:val="nil"/>
              <w:bottom w:val="single" w:sz="4" w:space="0" w:color="628288" w:themeColor="accent1" w:themeShade="BF"/>
              <w:right w:val="nil"/>
            </w:tcBorders>
            <w:vAlign w:val="center"/>
          </w:tcPr>
          <w:p w14:paraId="654A5D44" w14:textId="246F7F0D" w:rsidR="00346504" w:rsidRPr="00FA3AE4" w:rsidRDefault="00346504" w:rsidP="00FB3485">
            <w:pPr>
              <w:pStyle w:val="Body"/>
              <w:spacing w:after="60"/>
              <w:jc w:val="center"/>
              <w:rPr>
                <w:color w:val="auto"/>
                <w:szCs w:val="20"/>
              </w:rPr>
            </w:pPr>
            <w:r w:rsidRPr="00FA3AE4">
              <w:rPr>
                <w:color w:val="auto"/>
                <w:szCs w:val="20"/>
              </w:rPr>
              <w:t xml:space="preserve">Scheme </w:t>
            </w:r>
            <w:r w:rsidRPr="00BC0F0E">
              <w:rPr>
                <w:color w:val="auto"/>
                <w:szCs w:val="20"/>
              </w:rPr>
              <w:t xml:space="preserve">had </w:t>
            </w:r>
            <w:r w:rsidRPr="00FA3AE4">
              <w:rPr>
                <w:color w:val="auto"/>
                <w:szCs w:val="20"/>
              </w:rPr>
              <w:t xml:space="preserve">fully </w:t>
            </w:r>
            <w:r w:rsidRPr="00BC0F0E">
              <w:rPr>
                <w:color w:val="auto"/>
                <w:szCs w:val="20"/>
              </w:rPr>
              <w:t>disinvested</w:t>
            </w:r>
            <w:r w:rsidRPr="00FA3AE4">
              <w:rPr>
                <w:color w:val="auto"/>
                <w:szCs w:val="20"/>
              </w:rPr>
              <w:t xml:space="preserve"> from all four funds </w:t>
            </w:r>
            <w:r w:rsidRPr="00BC0F0E">
              <w:rPr>
                <w:color w:val="auto"/>
                <w:szCs w:val="20"/>
              </w:rPr>
              <w:t xml:space="preserve">by </w:t>
            </w:r>
            <w:r w:rsidRPr="00FA3AE4">
              <w:rPr>
                <w:color w:val="auto"/>
                <w:szCs w:val="20"/>
              </w:rPr>
              <w:t>the end of the Scheme Year.</w:t>
            </w:r>
          </w:p>
        </w:tc>
      </w:tr>
      <w:tr w:rsidR="00346504" w14:paraId="69412B11" w14:textId="71CA7930" w:rsidTr="00FB3485">
        <w:tc>
          <w:tcPr>
            <w:tcW w:w="2315" w:type="dxa"/>
            <w:tcBorders>
              <w:top w:val="single" w:sz="4" w:space="0" w:color="628288" w:themeColor="accent1" w:themeShade="BF"/>
              <w:left w:val="nil"/>
              <w:bottom w:val="single" w:sz="4" w:space="0" w:color="628288" w:themeColor="accent1" w:themeShade="BF"/>
              <w:right w:val="nil"/>
            </w:tcBorders>
          </w:tcPr>
          <w:p w14:paraId="32C3E433" w14:textId="06995486" w:rsidR="00346504" w:rsidRPr="003132F3" w:rsidRDefault="00346504" w:rsidP="00346504">
            <w:pPr>
              <w:pStyle w:val="Body"/>
              <w:spacing w:after="60"/>
              <w:rPr>
                <w:szCs w:val="20"/>
              </w:rPr>
            </w:pPr>
            <w:r w:rsidRPr="003132F3">
              <w:rPr>
                <w:szCs w:val="20"/>
              </w:rPr>
              <w:t>Number of equity holdings at end of the Scheme Year</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20164DCC" w14:textId="35B7C69F" w:rsidR="00346504" w:rsidRPr="00755AEA" w:rsidRDefault="00346504" w:rsidP="00FB3485">
            <w:pPr>
              <w:pStyle w:val="Body"/>
              <w:spacing w:after="60"/>
              <w:jc w:val="center"/>
              <w:rPr>
                <w:szCs w:val="20"/>
              </w:rPr>
            </w:pPr>
            <w:r w:rsidRPr="00755AEA">
              <w:rPr>
                <w:szCs w:val="20"/>
              </w:rPr>
              <w:t>833</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12B359B6" w14:textId="49646300" w:rsidR="00346504" w:rsidRPr="003132F3" w:rsidRDefault="00346504" w:rsidP="00FB3485">
            <w:pPr>
              <w:pStyle w:val="Body"/>
              <w:spacing w:after="60"/>
              <w:jc w:val="center"/>
              <w:rPr>
                <w:szCs w:val="20"/>
              </w:rPr>
            </w:pPr>
            <w:r>
              <w:rPr>
                <w:color w:val="auto"/>
                <w:szCs w:val="20"/>
              </w:rPr>
              <w:t>26</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0585635A" w14:textId="2D333A4D" w:rsidR="00346504" w:rsidRPr="00FA3AE4" w:rsidRDefault="00346504" w:rsidP="00FB3485">
            <w:pPr>
              <w:pStyle w:val="Body"/>
              <w:spacing w:after="60"/>
              <w:jc w:val="center"/>
              <w:rPr>
                <w:szCs w:val="20"/>
              </w:rPr>
            </w:pPr>
            <w:r w:rsidRPr="00FA3AE4">
              <w:rPr>
                <w:szCs w:val="20"/>
              </w:rPr>
              <w:t>24</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0016BEDE" w14:textId="704A00B9" w:rsidR="00346504" w:rsidRPr="003132F3" w:rsidRDefault="00346504" w:rsidP="00FB3485">
            <w:pPr>
              <w:pStyle w:val="Body"/>
              <w:spacing w:after="60"/>
              <w:jc w:val="center"/>
              <w:rPr>
                <w:szCs w:val="20"/>
              </w:rPr>
            </w:pPr>
            <w:r w:rsidRPr="003132F3">
              <w:rPr>
                <w:szCs w:val="20"/>
              </w:rPr>
              <w:t>34</w:t>
            </w:r>
          </w:p>
        </w:tc>
      </w:tr>
      <w:tr w:rsidR="00346504" w14:paraId="08B768C2" w14:textId="33101F44" w:rsidTr="00FB3485">
        <w:tc>
          <w:tcPr>
            <w:tcW w:w="2315" w:type="dxa"/>
            <w:tcBorders>
              <w:top w:val="single" w:sz="4" w:space="0" w:color="628288" w:themeColor="accent1" w:themeShade="BF"/>
              <w:left w:val="nil"/>
              <w:bottom w:val="single" w:sz="4" w:space="0" w:color="628288" w:themeColor="accent1" w:themeShade="BF"/>
              <w:right w:val="nil"/>
            </w:tcBorders>
          </w:tcPr>
          <w:p w14:paraId="38004583" w14:textId="77777777" w:rsidR="00346504" w:rsidRPr="003132F3" w:rsidRDefault="00346504" w:rsidP="00346504">
            <w:pPr>
              <w:pStyle w:val="Body"/>
              <w:spacing w:after="60"/>
              <w:rPr>
                <w:szCs w:val="20"/>
              </w:rPr>
            </w:pPr>
            <w:r w:rsidRPr="003132F3">
              <w:rPr>
                <w:szCs w:val="20"/>
              </w:rPr>
              <w:t>Number of meetings eligible to vote</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7D778C20" w14:textId="306BA722" w:rsidR="00346504" w:rsidRPr="00755AEA" w:rsidRDefault="00346504" w:rsidP="00FB3485">
            <w:pPr>
              <w:pStyle w:val="Body"/>
              <w:spacing w:after="60"/>
              <w:jc w:val="center"/>
              <w:rPr>
                <w:szCs w:val="20"/>
              </w:rPr>
            </w:pPr>
            <w:r w:rsidRPr="00755AEA">
              <w:rPr>
                <w:szCs w:val="20"/>
              </w:rPr>
              <w:t>830</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6E47AA26" w14:textId="6F44B081" w:rsidR="00346504" w:rsidRPr="003132F3" w:rsidRDefault="00346504" w:rsidP="00FB3485">
            <w:pPr>
              <w:pStyle w:val="Body"/>
              <w:spacing w:after="60"/>
              <w:jc w:val="center"/>
              <w:rPr>
                <w:szCs w:val="20"/>
              </w:rPr>
            </w:pPr>
            <w:r w:rsidRPr="003132F3">
              <w:rPr>
                <w:szCs w:val="20"/>
              </w:rPr>
              <w:t>19</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4E575DD4" w14:textId="79468A96" w:rsidR="00346504" w:rsidRPr="00FA3AE4" w:rsidRDefault="00346504" w:rsidP="00FB3485">
            <w:pPr>
              <w:pStyle w:val="Body"/>
              <w:spacing w:after="60"/>
              <w:jc w:val="center"/>
              <w:rPr>
                <w:szCs w:val="20"/>
              </w:rPr>
            </w:pPr>
            <w:r w:rsidRPr="00FA3AE4">
              <w:rPr>
                <w:szCs w:val="20"/>
              </w:rPr>
              <w:t>2</w:t>
            </w:r>
            <w:r>
              <w:rPr>
                <w:szCs w:val="20"/>
              </w:rPr>
              <w:t>3</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4BF3B331" w14:textId="620AA63A" w:rsidR="00346504" w:rsidRPr="003132F3" w:rsidRDefault="00346504" w:rsidP="00FB3485">
            <w:pPr>
              <w:pStyle w:val="Body"/>
              <w:spacing w:after="60"/>
              <w:jc w:val="center"/>
              <w:rPr>
                <w:szCs w:val="20"/>
              </w:rPr>
            </w:pPr>
            <w:r w:rsidRPr="003132F3">
              <w:rPr>
                <w:szCs w:val="20"/>
              </w:rPr>
              <w:t>191</w:t>
            </w:r>
          </w:p>
        </w:tc>
      </w:tr>
      <w:tr w:rsidR="00346504" w14:paraId="24577B85" w14:textId="109EA6C4" w:rsidTr="00FB3485">
        <w:tc>
          <w:tcPr>
            <w:tcW w:w="2315" w:type="dxa"/>
            <w:tcBorders>
              <w:top w:val="single" w:sz="4" w:space="0" w:color="628288" w:themeColor="accent1" w:themeShade="BF"/>
              <w:left w:val="nil"/>
              <w:bottom w:val="single" w:sz="4" w:space="0" w:color="628288" w:themeColor="accent1" w:themeShade="BF"/>
              <w:right w:val="nil"/>
            </w:tcBorders>
          </w:tcPr>
          <w:p w14:paraId="7F3A8CAD" w14:textId="77777777" w:rsidR="00346504" w:rsidRPr="003132F3" w:rsidRDefault="00346504" w:rsidP="00346504">
            <w:pPr>
              <w:pStyle w:val="Body"/>
              <w:spacing w:after="60"/>
              <w:rPr>
                <w:szCs w:val="20"/>
              </w:rPr>
            </w:pPr>
            <w:r w:rsidRPr="003132F3">
              <w:rPr>
                <w:szCs w:val="20"/>
              </w:rPr>
              <w:t>Number of resolutions eligible to vote</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0433BD84" w14:textId="305FA0EB" w:rsidR="00346504" w:rsidRPr="00755AEA" w:rsidRDefault="00346504" w:rsidP="00FB3485">
            <w:pPr>
              <w:pStyle w:val="Body"/>
              <w:spacing w:after="60"/>
              <w:jc w:val="center"/>
              <w:rPr>
                <w:szCs w:val="20"/>
              </w:rPr>
            </w:pPr>
            <w:r w:rsidRPr="00755AEA">
              <w:rPr>
                <w:szCs w:val="20"/>
              </w:rPr>
              <w:t>8,878</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4FFA1D63" w14:textId="6C9BA564" w:rsidR="00346504" w:rsidRPr="003132F3" w:rsidRDefault="00346504" w:rsidP="00FB3485">
            <w:pPr>
              <w:pStyle w:val="Body"/>
              <w:spacing w:after="60"/>
              <w:jc w:val="center"/>
              <w:rPr>
                <w:szCs w:val="20"/>
              </w:rPr>
            </w:pPr>
            <w:r w:rsidRPr="003132F3">
              <w:rPr>
                <w:szCs w:val="20"/>
              </w:rPr>
              <w:t>324</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49462DCA" w14:textId="223F907C" w:rsidR="00346504" w:rsidRPr="00FA3AE4" w:rsidRDefault="00346504" w:rsidP="00FB3485">
            <w:pPr>
              <w:pStyle w:val="Body"/>
              <w:spacing w:after="60"/>
              <w:jc w:val="center"/>
              <w:rPr>
                <w:szCs w:val="20"/>
              </w:rPr>
            </w:pPr>
            <w:r w:rsidRPr="00FA3AE4">
              <w:rPr>
                <w:szCs w:val="20"/>
              </w:rPr>
              <w:t>3</w:t>
            </w:r>
            <w:r>
              <w:rPr>
                <w:szCs w:val="20"/>
              </w:rPr>
              <w:t>50</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6D6ADA78" w14:textId="4D97E400" w:rsidR="00346504" w:rsidRPr="003132F3" w:rsidRDefault="00346504" w:rsidP="00FB3485">
            <w:pPr>
              <w:pStyle w:val="Body"/>
              <w:spacing w:after="60"/>
              <w:jc w:val="center"/>
              <w:rPr>
                <w:szCs w:val="20"/>
              </w:rPr>
            </w:pPr>
            <w:r w:rsidRPr="003132F3">
              <w:rPr>
                <w:szCs w:val="20"/>
              </w:rPr>
              <w:t>414</w:t>
            </w:r>
          </w:p>
        </w:tc>
      </w:tr>
      <w:tr w:rsidR="00346504" w14:paraId="5FF19DA8" w14:textId="317BE27C" w:rsidTr="00FB3485">
        <w:tc>
          <w:tcPr>
            <w:tcW w:w="2315" w:type="dxa"/>
            <w:tcBorders>
              <w:top w:val="single" w:sz="4" w:space="0" w:color="628288" w:themeColor="accent1" w:themeShade="BF"/>
              <w:left w:val="nil"/>
              <w:bottom w:val="single" w:sz="4" w:space="0" w:color="628288" w:themeColor="accent1" w:themeShade="BF"/>
              <w:right w:val="nil"/>
            </w:tcBorders>
          </w:tcPr>
          <w:p w14:paraId="4B2A6EB0" w14:textId="3D23AD59" w:rsidR="00346504" w:rsidRPr="003132F3" w:rsidRDefault="00346504" w:rsidP="00346504">
            <w:pPr>
              <w:pStyle w:val="Body"/>
              <w:spacing w:after="60"/>
              <w:rPr>
                <w:szCs w:val="20"/>
              </w:rPr>
            </w:pPr>
            <w:r w:rsidRPr="003132F3">
              <w:rPr>
                <w:szCs w:val="20"/>
              </w:rPr>
              <w:t>% of resolutions voted</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35E539D1" w14:textId="0406687C" w:rsidR="00346504" w:rsidRPr="00755AEA" w:rsidRDefault="00346504" w:rsidP="00FB3485">
            <w:pPr>
              <w:pStyle w:val="Body"/>
              <w:spacing w:after="60"/>
              <w:jc w:val="center"/>
              <w:rPr>
                <w:szCs w:val="20"/>
              </w:rPr>
            </w:pPr>
            <w:r w:rsidRPr="00755AEA">
              <w:rPr>
                <w:szCs w:val="20"/>
              </w:rPr>
              <w:t>97.6%</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35E7E5A3" w14:textId="6ACE1332" w:rsidR="00346504" w:rsidRPr="003132F3" w:rsidRDefault="00346504" w:rsidP="00FB3485">
            <w:pPr>
              <w:pStyle w:val="Body"/>
              <w:spacing w:after="60"/>
              <w:jc w:val="center"/>
              <w:rPr>
                <w:szCs w:val="20"/>
              </w:rPr>
            </w:pPr>
            <w:r w:rsidRPr="003132F3">
              <w:rPr>
                <w:szCs w:val="20"/>
              </w:rPr>
              <w:t>100</w:t>
            </w:r>
            <w:r>
              <w:rPr>
                <w:szCs w:val="20"/>
              </w:rPr>
              <w:t>.0</w:t>
            </w:r>
            <w:r w:rsidRPr="003132F3">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1C616879" w14:textId="69C50294" w:rsidR="00346504" w:rsidRPr="00FA3AE4" w:rsidRDefault="00346504" w:rsidP="00FB3485">
            <w:pPr>
              <w:pStyle w:val="Body"/>
              <w:spacing w:after="60"/>
              <w:jc w:val="center"/>
              <w:rPr>
                <w:szCs w:val="20"/>
              </w:rPr>
            </w:pPr>
            <w:r w:rsidRPr="00FA3AE4">
              <w:rPr>
                <w:szCs w:val="20"/>
              </w:rPr>
              <w:t>100</w:t>
            </w:r>
            <w:r>
              <w:rPr>
                <w:szCs w:val="20"/>
              </w:rPr>
              <w:t>.0</w:t>
            </w:r>
            <w:r w:rsidRPr="00FA3AE4">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64B8AE7E" w14:textId="1C9359DA" w:rsidR="00346504" w:rsidRPr="003132F3" w:rsidRDefault="00346504" w:rsidP="00FB3485">
            <w:pPr>
              <w:pStyle w:val="Body"/>
              <w:spacing w:after="60"/>
              <w:jc w:val="center"/>
              <w:rPr>
                <w:szCs w:val="20"/>
              </w:rPr>
            </w:pPr>
            <w:r w:rsidRPr="003132F3">
              <w:rPr>
                <w:szCs w:val="20"/>
              </w:rPr>
              <w:t>100</w:t>
            </w:r>
            <w:r>
              <w:rPr>
                <w:szCs w:val="20"/>
              </w:rPr>
              <w:t>.0</w:t>
            </w:r>
            <w:r w:rsidRPr="003132F3">
              <w:rPr>
                <w:szCs w:val="20"/>
              </w:rPr>
              <w:t>%</w:t>
            </w:r>
          </w:p>
        </w:tc>
      </w:tr>
      <w:tr w:rsidR="00346504" w14:paraId="294FE16F" w14:textId="1AB7E318" w:rsidTr="00FB3485">
        <w:tc>
          <w:tcPr>
            <w:tcW w:w="2315" w:type="dxa"/>
            <w:tcBorders>
              <w:top w:val="single" w:sz="4" w:space="0" w:color="628288" w:themeColor="accent1" w:themeShade="BF"/>
              <w:left w:val="nil"/>
              <w:bottom w:val="single" w:sz="4" w:space="0" w:color="628288" w:themeColor="accent1" w:themeShade="BF"/>
              <w:right w:val="nil"/>
            </w:tcBorders>
          </w:tcPr>
          <w:p w14:paraId="533A1C9B" w14:textId="635E4039" w:rsidR="00346504" w:rsidRPr="003132F3" w:rsidRDefault="00346504" w:rsidP="00346504">
            <w:pPr>
              <w:pStyle w:val="Body"/>
              <w:spacing w:after="60"/>
              <w:rPr>
                <w:szCs w:val="20"/>
              </w:rPr>
            </w:pPr>
            <w:r w:rsidRPr="003132F3">
              <w:rPr>
                <w:szCs w:val="20"/>
              </w:rPr>
              <w:t>Of the resolutions on which voted, % voted with management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776859B2" w14:textId="40114051" w:rsidR="00346504" w:rsidRPr="00755AEA" w:rsidRDefault="00346504" w:rsidP="00FB3485">
            <w:pPr>
              <w:pStyle w:val="Body"/>
              <w:spacing w:after="60"/>
              <w:jc w:val="center"/>
              <w:rPr>
                <w:szCs w:val="20"/>
              </w:rPr>
            </w:pPr>
            <w:r w:rsidRPr="00755AEA">
              <w:rPr>
                <w:szCs w:val="20"/>
              </w:rPr>
              <w:t>90.3%</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7945F760" w14:textId="526DE693" w:rsidR="00346504" w:rsidRPr="003132F3" w:rsidRDefault="00346504" w:rsidP="00FB3485">
            <w:pPr>
              <w:pStyle w:val="Body"/>
              <w:spacing w:after="60"/>
              <w:jc w:val="center"/>
              <w:rPr>
                <w:szCs w:val="20"/>
              </w:rPr>
            </w:pPr>
            <w:r w:rsidRPr="003132F3">
              <w:rPr>
                <w:szCs w:val="20"/>
              </w:rPr>
              <w:t>97</w:t>
            </w:r>
            <w:r>
              <w:rPr>
                <w:szCs w:val="20"/>
              </w:rPr>
              <w:t>.0</w:t>
            </w:r>
            <w:r w:rsidRPr="003132F3">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0C300581" w14:textId="7B969F6A" w:rsidR="00346504" w:rsidRPr="00FA3AE4" w:rsidRDefault="00346504" w:rsidP="00FB3485">
            <w:pPr>
              <w:pStyle w:val="Body"/>
              <w:spacing w:after="60"/>
              <w:jc w:val="center"/>
              <w:rPr>
                <w:szCs w:val="20"/>
              </w:rPr>
            </w:pPr>
            <w:r w:rsidRPr="00FA3AE4">
              <w:rPr>
                <w:szCs w:val="20"/>
              </w:rPr>
              <w:t>96.</w:t>
            </w:r>
            <w:r>
              <w:rPr>
                <w:szCs w:val="20"/>
              </w:rPr>
              <w:t>6</w:t>
            </w:r>
            <w:r w:rsidRPr="00FA3AE4">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7BF36BE7" w14:textId="65718656" w:rsidR="00346504" w:rsidRPr="003132F3" w:rsidRDefault="00346504" w:rsidP="00FB3485">
            <w:pPr>
              <w:pStyle w:val="Body"/>
              <w:spacing w:after="60"/>
              <w:jc w:val="center"/>
              <w:rPr>
                <w:szCs w:val="20"/>
              </w:rPr>
            </w:pPr>
            <w:r w:rsidRPr="003132F3">
              <w:rPr>
                <w:szCs w:val="20"/>
              </w:rPr>
              <w:t>93</w:t>
            </w:r>
            <w:r>
              <w:rPr>
                <w:szCs w:val="20"/>
              </w:rPr>
              <w:t>.0</w:t>
            </w:r>
            <w:r w:rsidRPr="003132F3">
              <w:rPr>
                <w:szCs w:val="20"/>
              </w:rPr>
              <w:t>%</w:t>
            </w:r>
          </w:p>
        </w:tc>
      </w:tr>
      <w:tr w:rsidR="00346504" w14:paraId="0970B256" w14:textId="46B37001" w:rsidTr="00FB3485">
        <w:tc>
          <w:tcPr>
            <w:tcW w:w="2315" w:type="dxa"/>
            <w:tcBorders>
              <w:top w:val="single" w:sz="4" w:space="0" w:color="628288" w:themeColor="accent1" w:themeShade="BF"/>
              <w:left w:val="nil"/>
              <w:bottom w:val="single" w:sz="4" w:space="0" w:color="628288" w:themeColor="accent1" w:themeShade="BF"/>
              <w:right w:val="nil"/>
            </w:tcBorders>
          </w:tcPr>
          <w:p w14:paraId="7888224F" w14:textId="05031C38" w:rsidR="00346504" w:rsidRPr="003132F3" w:rsidRDefault="00346504" w:rsidP="00346504">
            <w:pPr>
              <w:pStyle w:val="Body"/>
              <w:spacing w:after="60"/>
              <w:rPr>
                <w:szCs w:val="20"/>
              </w:rPr>
            </w:pPr>
            <w:r w:rsidRPr="003132F3">
              <w:rPr>
                <w:szCs w:val="20"/>
              </w:rPr>
              <w:t>Of the resolutions on which voted, % voted against management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19991960" w14:textId="6FD35997" w:rsidR="00346504" w:rsidRPr="00755AEA" w:rsidRDefault="00346504" w:rsidP="00FB3485">
            <w:pPr>
              <w:pStyle w:val="Body"/>
              <w:spacing w:after="60"/>
              <w:jc w:val="center"/>
              <w:rPr>
                <w:szCs w:val="20"/>
              </w:rPr>
            </w:pPr>
            <w:r w:rsidRPr="00755AEA">
              <w:rPr>
                <w:szCs w:val="20"/>
              </w:rPr>
              <w:t>9.7%</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216F4846" w14:textId="13CF72A3" w:rsidR="00346504" w:rsidRPr="003132F3" w:rsidRDefault="00346504" w:rsidP="00FB3485">
            <w:pPr>
              <w:pStyle w:val="Body"/>
              <w:spacing w:after="60"/>
              <w:jc w:val="center"/>
              <w:rPr>
                <w:szCs w:val="20"/>
              </w:rPr>
            </w:pPr>
            <w:r w:rsidRPr="003132F3">
              <w:rPr>
                <w:szCs w:val="20"/>
              </w:rPr>
              <w:t>3</w:t>
            </w:r>
            <w:r>
              <w:rPr>
                <w:szCs w:val="20"/>
              </w:rPr>
              <w:t>.0</w:t>
            </w:r>
            <w:r w:rsidRPr="003132F3">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45347B73" w14:textId="5BA59CC3" w:rsidR="00346504" w:rsidRPr="00FA3AE4" w:rsidRDefault="00346504" w:rsidP="00FB3485">
            <w:pPr>
              <w:pStyle w:val="Body"/>
              <w:spacing w:after="60"/>
              <w:jc w:val="center"/>
              <w:rPr>
                <w:szCs w:val="20"/>
              </w:rPr>
            </w:pPr>
            <w:r w:rsidRPr="00FA3AE4">
              <w:rPr>
                <w:szCs w:val="20"/>
              </w:rPr>
              <w:t>2.6%</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762EACD6" w14:textId="396C571C" w:rsidR="00346504" w:rsidRPr="003132F3" w:rsidRDefault="00346504" w:rsidP="00FB3485">
            <w:pPr>
              <w:pStyle w:val="Body"/>
              <w:spacing w:after="60"/>
              <w:jc w:val="center"/>
              <w:rPr>
                <w:szCs w:val="20"/>
              </w:rPr>
            </w:pPr>
            <w:r w:rsidRPr="003132F3">
              <w:rPr>
                <w:szCs w:val="20"/>
              </w:rPr>
              <w:t>7</w:t>
            </w:r>
            <w:r>
              <w:rPr>
                <w:szCs w:val="20"/>
              </w:rPr>
              <w:t>.0</w:t>
            </w:r>
            <w:r w:rsidRPr="003132F3">
              <w:rPr>
                <w:szCs w:val="20"/>
              </w:rPr>
              <w:t>%</w:t>
            </w:r>
          </w:p>
        </w:tc>
      </w:tr>
      <w:tr w:rsidR="00346504" w14:paraId="2B123E2F" w14:textId="185DC618" w:rsidTr="00FB3485">
        <w:tc>
          <w:tcPr>
            <w:tcW w:w="2315" w:type="dxa"/>
            <w:tcBorders>
              <w:top w:val="single" w:sz="4" w:space="0" w:color="628288" w:themeColor="accent1" w:themeShade="BF"/>
              <w:left w:val="nil"/>
              <w:bottom w:val="single" w:sz="4" w:space="0" w:color="628288" w:themeColor="accent1" w:themeShade="BF"/>
              <w:right w:val="nil"/>
            </w:tcBorders>
          </w:tcPr>
          <w:p w14:paraId="437652A0" w14:textId="0ACACF13" w:rsidR="00346504" w:rsidRPr="003132F3" w:rsidRDefault="00346504" w:rsidP="00346504">
            <w:pPr>
              <w:pStyle w:val="Body"/>
              <w:spacing w:after="60"/>
              <w:rPr>
                <w:szCs w:val="20"/>
              </w:rPr>
            </w:pPr>
            <w:r w:rsidRPr="003132F3">
              <w:rPr>
                <w:szCs w:val="20"/>
              </w:rPr>
              <w:t>Of the resolutions on which voted, % abstained from voting</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2D4CA59C" w14:textId="5C6E9274" w:rsidR="00346504" w:rsidRPr="00755AEA" w:rsidRDefault="00346504" w:rsidP="00FB3485">
            <w:pPr>
              <w:pStyle w:val="Body"/>
              <w:spacing w:after="60"/>
              <w:jc w:val="center"/>
              <w:rPr>
                <w:szCs w:val="20"/>
              </w:rPr>
            </w:pPr>
            <w:r w:rsidRPr="00755AEA">
              <w:rPr>
                <w:szCs w:val="20"/>
              </w:rPr>
              <w:t>n/a</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707A1135" w14:textId="229CEFA4" w:rsidR="00346504" w:rsidRPr="003132F3" w:rsidRDefault="00346504" w:rsidP="00FB3485">
            <w:pPr>
              <w:pStyle w:val="Body"/>
              <w:spacing w:after="60"/>
              <w:jc w:val="center"/>
              <w:rPr>
                <w:szCs w:val="20"/>
              </w:rPr>
            </w:pPr>
            <w:r w:rsidRPr="003132F3">
              <w:rPr>
                <w:szCs w:val="20"/>
              </w:rPr>
              <w:t>0</w:t>
            </w:r>
            <w:r>
              <w:rPr>
                <w:szCs w:val="20"/>
              </w:rPr>
              <w:t>.0</w:t>
            </w:r>
            <w:r w:rsidRPr="003132F3">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15F31FA8" w14:textId="18F54A2E" w:rsidR="00346504" w:rsidRPr="00FA3AE4" w:rsidRDefault="00346504" w:rsidP="00FB3485">
            <w:pPr>
              <w:pStyle w:val="Body"/>
              <w:spacing w:after="60"/>
              <w:jc w:val="center"/>
              <w:rPr>
                <w:szCs w:val="20"/>
              </w:rPr>
            </w:pPr>
            <w:r w:rsidRPr="00FA3AE4">
              <w:rPr>
                <w:szCs w:val="20"/>
              </w:rPr>
              <w:t>0.7%</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5ED837AA" w14:textId="5FB92566" w:rsidR="00346504" w:rsidRPr="003132F3" w:rsidRDefault="00346504" w:rsidP="00FB3485">
            <w:pPr>
              <w:pStyle w:val="Body"/>
              <w:spacing w:after="60"/>
              <w:jc w:val="center"/>
              <w:rPr>
                <w:szCs w:val="20"/>
              </w:rPr>
            </w:pPr>
            <w:r w:rsidRPr="003132F3">
              <w:rPr>
                <w:szCs w:val="20"/>
              </w:rPr>
              <w:t>0</w:t>
            </w:r>
            <w:r>
              <w:rPr>
                <w:szCs w:val="20"/>
              </w:rPr>
              <w:t>%</w:t>
            </w:r>
          </w:p>
        </w:tc>
      </w:tr>
      <w:tr w:rsidR="00346504" w14:paraId="5014A0CF" w14:textId="1AC8565C" w:rsidTr="00FB3485">
        <w:tc>
          <w:tcPr>
            <w:tcW w:w="2315" w:type="dxa"/>
            <w:tcBorders>
              <w:top w:val="single" w:sz="4" w:space="0" w:color="628288" w:themeColor="accent1" w:themeShade="BF"/>
              <w:left w:val="nil"/>
              <w:bottom w:val="single" w:sz="4" w:space="0" w:color="628288" w:themeColor="accent1" w:themeShade="BF"/>
              <w:right w:val="nil"/>
            </w:tcBorders>
          </w:tcPr>
          <w:p w14:paraId="75E855DB" w14:textId="00D7FF94" w:rsidR="00346504" w:rsidRPr="003132F3" w:rsidRDefault="00346504" w:rsidP="00346504">
            <w:pPr>
              <w:pStyle w:val="Body"/>
              <w:spacing w:after="60"/>
              <w:rPr>
                <w:szCs w:val="20"/>
              </w:rPr>
            </w:pPr>
            <w:r w:rsidRPr="003132F3">
              <w:rPr>
                <w:szCs w:val="20"/>
              </w:rPr>
              <w:t>Of the meetings in which the manager voted, % with at least one vote against management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6D32A905" w14:textId="2781E76A" w:rsidR="00346504" w:rsidRPr="00755AEA" w:rsidRDefault="00346504" w:rsidP="00FB3485">
            <w:pPr>
              <w:pStyle w:val="Body"/>
              <w:spacing w:after="60"/>
              <w:jc w:val="center"/>
              <w:rPr>
                <w:szCs w:val="20"/>
              </w:rPr>
            </w:pPr>
            <w:r w:rsidRPr="00755AEA">
              <w:rPr>
                <w:szCs w:val="20"/>
              </w:rPr>
              <w:t>34.7%</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4B8B0566" w14:textId="11DFA112" w:rsidR="00346504" w:rsidRPr="003132F3" w:rsidRDefault="00346504" w:rsidP="00FB3485">
            <w:pPr>
              <w:pStyle w:val="Body"/>
              <w:spacing w:after="60"/>
              <w:jc w:val="center"/>
              <w:rPr>
                <w:szCs w:val="20"/>
              </w:rPr>
            </w:pPr>
            <w:r w:rsidRPr="003132F3">
              <w:rPr>
                <w:szCs w:val="20"/>
              </w:rPr>
              <w:t>32</w:t>
            </w:r>
            <w:r>
              <w:rPr>
                <w:szCs w:val="20"/>
              </w:rPr>
              <w:t>.0</w:t>
            </w:r>
            <w:r w:rsidRPr="003132F3">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2F5AF924" w14:textId="152B789E" w:rsidR="00346504" w:rsidRPr="00FA3AE4" w:rsidRDefault="00346504" w:rsidP="00FB3485">
            <w:pPr>
              <w:pStyle w:val="Body"/>
              <w:spacing w:after="60"/>
              <w:jc w:val="center"/>
              <w:rPr>
                <w:szCs w:val="20"/>
              </w:rPr>
            </w:pPr>
            <w:r w:rsidRPr="00FA3AE4">
              <w:rPr>
                <w:szCs w:val="20"/>
              </w:rPr>
              <w:t>2</w:t>
            </w:r>
            <w:r>
              <w:rPr>
                <w:szCs w:val="20"/>
              </w:rPr>
              <w:t>6.1</w:t>
            </w:r>
            <w:r w:rsidRPr="00FA3AE4">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392C03C7" w14:textId="273A4FE5" w:rsidR="00346504" w:rsidRPr="003132F3" w:rsidRDefault="00346504" w:rsidP="00FB3485">
            <w:pPr>
              <w:pStyle w:val="Body"/>
              <w:spacing w:after="60"/>
              <w:jc w:val="center"/>
              <w:rPr>
                <w:szCs w:val="20"/>
              </w:rPr>
            </w:pPr>
            <w:r w:rsidRPr="003132F3">
              <w:rPr>
                <w:szCs w:val="20"/>
              </w:rPr>
              <w:t>8</w:t>
            </w:r>
            <w:r>
              <w:rPr>
                <w:szCs w:val="20"/>
              </w:rPr>
              <w:t>.0</w:t>
            </w:r>
            <w:r w:rsidRPr="003132F3">
              <w:rPr>
                <w:szCs w:val="20"/>
              </w:rPr>
              <w:t>%</w:t>
            </w:r>
          </w:p>
        </w:tc>
      </w:tr>
      <w:tr w:rsidR="00346504" w14:paraId="65ED2BC0" w14:textId="27C7E3F5" w:rsidTr="00FB3485">
        <w:tc>
          <w:tcPr>
            <w:tcW w:w="2315" w:type="dxa"/>
            <w:tcBorders>
              <w:top w:val="single" w:sz="4" w:space="0" w:color="628288" w:themeColor="accent1" w:themeShade="BF"/>
              <w:left w:val="nil"/>
              <w:bottom w:val="single" w:sz="4" w:space="0" w:color="628288" w:themeColor="accent1" w:themeShade="BF"/>
              <w:right w:val="nil"/>
            </w:tcBorders>
          </w:tcPr>
          <w:p w14:paraId="61CA6ABE" w14:textId="23316E2D" w:rsidR="00346504" w:rsidRPr="003132F3" w:rsidRDefault="00346504" w:rsidP="00346504">
            <w:pPr>
              <w:pStyle w:val="Body"/>
              <w:spacing w:after="60"/>
              <w:rPr>
                <w:szCs w:val="20"/>
              </w:rPr>
            </w:pPr>
            <w:r w:rsidRPr="003132F3">
              <w:rPr>
                <w:szCs w:val="20"/>
              </w:rPr>
              <w:t>Of the resolutions on which the manager voted, % voted contrary to recommendation of proxy advisor</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2D6DF250" w14:textId="1B3A93EC" w:rsidR="00346504" w:rsidRPr="00755AEA" w:rsidRDefault="00346504" w:rsidP="00FB3485">
            <w:pPr>
              <w:pStyle w:val="Body"/>
              <w:spacing w:after="60"/>
              <w:jc w:val="center"/>
              <w:rPr>
                <w:szCs w:val="20"/>
              </w:rPr>
            </w:pPr>
            <w:r w:rsidRPr="00755AEA">
              <w:rPr>
                <w:szCs w:val="20"/>
              </w:rPr>
              <w:t>0.0%</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6DF5A121" w14:textId="4222A8B1" w:rsidR="00346504" w:rsidRPr="003132F3" w:rsidRDefault="00346504" w:rsidP="00FB3485">
            <w:pPr>
              <w:pStyle w:val="Body"/>
              <w:spacing w:after="60"/>
              <w:jc w:val="center"/>
              <w:rPr>
                <w:szCs w:val="20"/>
              </w:rPr>
            </w:pPr>
            <w:r w:rsidRPr="003132F3">
              <w:rPr>
                <w:szCs w:val="20"/>
              </w:rPr>
              <w:t>4</w:t>
            </w:r>
            <w:r>
              <w:rPr>
                <w:szCs w:val="20"/>
              </w:rPr>
              <w:t>.0</w:t>
            </w:r>
            <w:r w:rsidRPr="003132F3">
              <w:rPr>
                <w:szCs w:val="20"/>
              </w:rPr>
              <w:t>%</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0333666E" w14:textId="3FBEF7D3" w:rsidR="00346504" w:rsidRPr="00FA3AE4" w:rsidRDefault="00346504" w:rsidP="00FB3485">
            <w:pPr>
              <w:pStyle w:val="Body"/>
              <w:spacing w:after="60"/>
              <w:jc w:val="center"/>
              <w:rPr>
                <w:szCs w:val="20"/>
              </w:rPr>
            </w:pPr>
            <w:r>
              <w:rPr>
                <w:szCs w:val="20"/>
              </w:rPr>
              <w:t>n/a</w:t>
            </w:r>
          </w:p>
        </w:tc>
        <w:tc>
          <w:tcPr>
            <w:tcW w:w="1902" w:type="dxa"/>
            <w:tcBorders>
              <w:top w:val="single" w:sz="4" w:space="0" w:color="628288" w:themeColor="accent1" w:themeShade="BF"/>
              <w:left w:val="nil"/>
              <w:bottom w:val="single" w:sz="4" w:space="0" w:color="628288" w:themeColor="accent1" w:themeShade="BF"/>
              <w:right w:val="nil"/>
            </w:tcBorders>
            <w:vAlign w:val="center"/>
          </w:tcPr>
          <w:p w14:paraId="7D184BF6" w14:textId="1C363CDC" w:rsidR="00346504" w:rsidRPr="003132F3" w:rsidRDefault="00346504" w:rsidP="00FB3485">
            <w:pPr>
              <w:pStyle w:val="Body"/>
              <w:spacing w:after="60"/>
              <w:jc w:val="center"/>
              <w:rPr>
                <w:szCs w:val="20"/>
              </w:rPr>
            </w:pPr>
            <w:r>
              <w:rPr>
                <w:szCs w:val="20"/>
              </w:rPr>
              <w:t>n/a</w:t>
            </w:r>
          </w:p>
        </w:tc>
      </w:tr>
    </w:tbl>
    <w:p w14:paraId="3F127D62" w14:textId="6D3C1DBE" w:rsidR="00656CC0" w:rsidRPr="00656CC0" w:rsidRDefault="00F242AE" w:rsidP="00242996">
      <w:pPr>
        <w:pStyle w:val="Body"/>
        <w:spacing w:after="120"/>
      </w:pPr>
      <w:r>
        <w:rPr>
          <w:sz w:val="16"/>
          <w:szCs w:val="14"/>
        </w:rPr>
        <w:br/>
      </w:r>
      <w:r w:rsidR="00656CC0">
        <w:rPr>
          <w:vertAlign w:val="superscript"/>
        </w:rPr>
        <w:t>1</w:t>
      </w:r>
      <w:r w:rsidR="00904866">
        <w:t xml:space="preserve">The Scheme’s investment with </w:t>
      </w:r>
      <w:proofErr w:type="spellStart"/>
      <w:r w:rsidR="00904866">
        <w:t>Arrowstreet</w:t>
      </w:r>
      <w:proofErr w:type="spellEnd"/>
      <w:r w:rsidR="00904866">
        <w:t xml:space="preserve"> was moved from a segregated </w:t>
      </w:r>
      <w:r w:rsidR="002A087F">
        <w:t xml:space="preserve">account </w:t>
      </w:r>
      <w:r w:rsidR="00904866">
        <w:t>to a pooled fund over the Scheme Year</w:t>
      </w:r>
      <w:r w:rsidR="0093314C">
        <w:t>.</w:t>
      </w:r>
    </w:p>
    <w:p w14:paraId="35BFEDD8" w14:textId="613A4D71" w:rsidR="00904F51" w:rsidRPr="00755AEA" w:rsidRDefault="00656CC0" w:rsidP="00242996">
      <w:pPr>
        <w:pStyle w:val="Body"/>
        <w:spacing w:after="120"/>
        <w:rPr>
          <w:sz w:val="16"/>
          <w:szCs w:val="14"/>
        </w:rPr>
      </w:pPr>
      <w:r>
        <w:rPr>
          <w:vertAlign w:val="superscript"/>
        </w:rPr>
        <w:t>2</w:t>
      </w:r>
      <w:r w:rsidR="007C662F" w:rsidRPr="00F242AE">
        <w:t>The Scheme’s investment with IFP was held via a segregated account (</w:t>
      </w:r>
      <w:proofErr w:type="spellStart"/>
      <w:r w:rsidR="00312DD2" w:rsidRPr="00F242AE">
        <w:t>ie</w:t>
      </w:r>
      <w:proofErr w:type="spellEnd"/>
      <w:r w:rsidR="00312DD2" w:rsidRPr="00F242AE">
        <w:t xml:space="preserve"> not via a pooled fund). </w:t>
      </w:r>
      <w:proofErr w:type="gramStart"/>
      <w:r w:rsidR="00312DD2" w:rsidRPr="00F242AE">
        <w:t>Therefore</w:t>
      </w:r>
      <w:proofErr w:type="gramEnd"/>
      <w:r w:rsidR="00312DD2" w:rsidRPr="00F242AE">
        <w:t xml:space="preserve"> all information is shown </w:t>
      </w:r>
      <w:r w:rsidR="00033C0B" w:rsidRPr="00F242AE">
        <w:t xml:space="preserve">over the period to </w:t>
      </w:r>
      <w:r w:rsidR="00312DD2" w:rsidRPr="00F242AE">
        <w:t xml:space="preserve">the date of account </w:t>
      </w:r>
      <w:r w:rsidR="00312DD2" w:rsidRPr="00E74350">
        <w:t xml:space="preserve">closure </w:t>
      </w:r>
      <w:r w:rsidR="00130616" w:rsidRPr="00E74350">
        <w:t>i</w:t>
      </w:r>
      <w:r w:rsidR="005812B5" w:rsidRPr="00E74350">
        <w:t xml:space="preserve">n </w:t>
      </w:r>
      <w:r w:rsidR="004812D1" w:rsidRPr="00E74350">
        <w:t>October</w:t>
      </w:r>
      <w:r w:rsidR="004812D1">
        <w:t xml:space="preserve"> 2023.</w:t>
      </w:r>
    </w:p>
    <w:p w14:paraId="172583AB" w14:textId="77777777" w:rsidR="00A42FD9" w:rsidRPr="00874EE3" w:rsidRDefault="00A42FD9" w:rsidP="00242996">
      <w:pPr>
        <w:pStyle w:val="Body"/>
        <w:spacing w:after="120"/>
      </w:pPr>
    </w:p>
    <w:p w14:paraId="7A1BD543" w14:textId="434C450A" w:rsidR="00572B8E" w:rsidRPr="00EA0EA1" w:rsidRDefault="00A66E87" w:rsidP="00D6694D">
      <w:pPr>
        <w:pStyle w:val="Body"/>
        <w:keepNext/>
        <w:rPr>
          <w:b/>
          <w:bCs/>
          <w:color w:val="002F5F" w:themeColor="accent4"/>
        </w:rPr>
      </w:pPr>
      <w:r>
        <w:rPr>
          <w:b/>
          <w:bCs/>
          <w:color w:val="002F5F" w:themeColor="accent4"/>
        </w:rPr>
        <w:t>3</w:t>
      </w:r>
      <w:r w:rsidR="0078052D" w:rsidRPr="00EA0EA1">
        <w:rPr>
          <w:b/>
          <w:bCs/>
          <w:color w:val="002F5F" w:themeColor="accent4"/>
        </w:rPr>
        <w:t xml:space="preserve">.3 </w:t>
      </w:r>
      <w:r w:rsidR="00572B8E" w:rsidRPr="00EA0EA1">
        <w:rPr>
          <w:b/>
          <w:bCs/>
          <w:color w:val="002F5F" w:themeColor="accent4"/>
        </w:rPr>
        <w:t>Most significant votes</w:t>
      </w:r>
    </w:p>
    <w:p w14:paraId="1CDDAFA7" w14:textId="14B9DD64" w:rsidR="001A725D" w:rsidRDefault="00A04485" w:rsidP="00A631DE">
      <w:pPr>
        <w:pStyle w:val="Body"/>
      </w:pPr>
      <w:r>
        <w:t xml:space="preserve">Commentary on the most significant votes over the </w:t>
      </w:r>
      <w:r w:rsidR="009D6AA6">
        <w:t xml:space="preserve">Scheme </w:t>
      </w:r>
      <w:r w:rsidR="00687C3E">
        <w:t>Year</w:t>
      </w:r>
      <w:r w:rsidR="00DC63DE">
        <w:t xml:space="preserve">, from the </w:t>
      </w:r>
      <w:r w:rsidR="001A5497">
        <w:t>Scheme</w:t>
      </w:r>
      <w:r w:rsidR="00DC63DE">
        <w:t>’s asset managers who h</w:t>
      </w:r>
      <w:r w:rsidR="00E17C24">
        <w:t>eld</w:t>
      </w:r>
      <w:r w:rsidR="00DC63DE">
        <w:t xml:space="preserve"> listed equities,</w:t>
      </w:r>
      <w:r>
        <w:t xml:space="preserve"> </w:t>
      </w:r>
      <w:r w:rsidR="00FD3322">
        <w:t>is</w:t>
      </w:r>
      <w:r>
        <w:t xml:space="preserve"> set out below. </w:t>
      </w:r>
    </w:p>
    <w:p w14:paraId="0FEBEEDA" w14:textId="2BDD7A6F" w:rsidR="00BD1D0F" w:rsidRDefault="004C373D" w:rsidP="00BD1D0F">
      <w:pPr>
        <w:pStyle w:val="Body"/>
      </w:pPr>
      <w:r>
        <w:t xml:space="preserve">The </w:t>
      </w:r>
      <w:r w:rsidRPr="00610715">
        <w:t>Trustee</w:t>
      </w:r>
      <w:r w:rsidR="00D042F8" w:rsidRPr="00610715">
        <w:t xml:space="preserve"> ha</w:t>
      </w:r>
      <w:r w:rsidRPr="00610715">
        <w:t>s</w:t>
      </w:r>
      <w:r w:rsidR="00A906B6" w:rsidRPr="00610715">
        <w:t xml:space="preserve"> </w:t>
      </w:r>
      <w:r w:rsidR="00D042F8" w:rsidRPr="00610715">
        <w:t>interpreted “significant votes” to mean those that</w:t>
      </w:r>
      <w:r w:rsidR="00755706" w:rsidRPr="00610715">
        <w:t>:</w:t>
      </w:r>
      <w:r w:rsidR="005E53A5" w:rsidRPr="00610715">
        <w:t xml:space="preserve"> </w:t>
      </w:r>
      <w:r w:rsidR="00BD1D0F" w:rsidRPr="00610715">
        <w:t>align with its stewardship priorities and may have the most significant financial impact for the Scheme. On this basis, the Trustee has selected a subset of the votes reported on by the managers for inclusion in this Statement. If members wish to obtain more investment manager voting information, this is available upon request.</w:t>
      </w:r>
    </w:p>
    <w:p w14:paraId="3BCA7712" w14:textId="74CBB9D7" w:rsidR="00CE2318" w:rsidRDefault="00CE2318" w:rsidP="00CE2318">
      <w:pPr>
        <w:pStyle w:val="Body"/>
        <w:rPr>
          <w:b/>
          <w:bCs/>
          <w:color w:val="E93F6F" w:themeColor="accent3"/>
        </w:rPr>
      </w:pPr>
      <w:proofErr w:type="spellStart"/>
      <w:r w:rsidRPr="00123BDD">
        <w:rPr>
          <w:b/>
          <w:bCs/>
          <w:color w:val="E93F6F" w:themeColor="accent3"/>
        </w:rPr>
        <w:lastRenderedPageBreak/>
        <w:t>Arrowstreet</w:t>
      </w:r>
      <w:proofErr w:type="spellEnd"/>
      <w:r w:rsidR="002415E1">
        <w:rPr>
          <w:b/>
          <w:bCs/>
          <w:color w:val="E93F6F" w:themeColor="accent3"/>
        </w:rPr>
        <w:t xml:space="preserve"> (disinvested </w:t>
      </w:r>
      <w:r w:rsidR="00456A0C">
        <w:rPr>
          <w:b/>
          <w:bCs/>
          <w:color w:val="E93F6F" w:themeColor="accent3"/>
        </w:rPr>
        <w:t>October 2023</w:t>
      </w:r>
      <w:r w:rsidR="002415E1">
        <w:rPr>
          <w:b/>
          <w:bCs/>
          <w:color w:val="E93F6F" w:themeColor="accent3"/>
        </w:rPr>
        <w:t>)</w:t>
      </w:r>
      <w:r w:rsidRPr="00123BDD">
        <w:rPr>
          <w:b/>
          <w:bCs/>
          <w:color w:val="E93F6F" w:themeColor="accent3"/>
        </w:rPr>
        <w:t>:</w:t>
      </w:r>
    </w:p>
    <w:p w14:paraId="400B2D07" w14:textId="5122E532" w:rsidR="00265DA5" w:rsidRPr="00123BDD" w:rsidRDefault="00265DA5" w:rsidP="00265DA5">
      <w:pPr>
        <w:pStyle w:val="Body"/>
      </w:pPr>
      <w:proofErr w:type="spellStart"/>
      <w:r w:rsidRPr="00123BDD">
        <w:t>Arrowstreet</w:t>
      </w:r>
      <w:proofErr w:type="spellEnd"/>
      <w:r w:rsidRPr="00123BDD">
        <w:t xml:space="preserve"> </w:t>
      </w:r>
      <w:r w:rsidR="00DC5966">
        <w:t>has provided examples of</w:t>
      </w:r>
      <w:r w:rsidR="00DC5966" w:rsidRPr="00123BDD">
        <w:t xml:space="preserve"> </w:t>
      </w:r>
      <w:r w:rsidRPr="00123BDD">
        <w:t xml:space="preserve">votes held against management </w:t>
      </w:r>
      <w:r w:rsidR="00153DB9">
        <w:t xml:space="preserve">over the Scheme </w:t>
      </w:r>
      <w:proofErr w:type="gramStart"/>
      <w:r w:rsidR="00153DB9">
        <w:t xml:space="preserve">Year, </w:t>
      </w:r>
      <w:r w:rsidRPr="00123BDD">
        <w:t>but</w:t>
      </w:r>
      <w:proofErr w:type="gramEnd"/>
      <w:r w:rsidRPr="00123BDD">
        <w:t xml:space="preserve"> did not classify these as ‘most significant’.</w:t>
      </w:r>
      <w:r w:rsidR="00F6505B">
        <w:t xml:space="preserve"> </w:t>
      </w:r>
      <w:r w:rsidRPr="00123BDD">
        <w:t>We have shown an example below</w:t>
      </w:r>
      <w:r w:rsidR="00286CE8">
        <w:t xml:space="preserve"> that we believe to be ‘most significant’</w:t>
      </w:r>
      <w:r w:rsidR="00F43C94">
        <w:t xml:space="preserve"> given it reflects a stewardship priority chosen by the Trustee</w:t>
      </w:r>
      <w:r w:rsidRPr="00123BDD">
        <w:t>.</w:t>
      </w:r>
    </w:p>
    <w:p w14:paraId="0663CC1A" w14:textId="4B2BA7F1" w:rsidR="00265DA5" w:rsidRPr="00CB56AF" w:rsidRDefault="00194459" w:rsidP="00CB56AF">
      <w:pPr>
        <w:pStyle w:val="Body"/>
        <w:spacing w:after="120"/>
        <w:rPr>
          <w:b/>
          <w:u w:val="single"/>
        </w:rPr>
      </w:pPr>
      <w:r>
        <w:rPr>
          <w:b/>
          <w:u w:val="single"/>
        </w:rPr>
        <w:t>Bank of America Corporation</w:t>
      </w:r>
      <w:r w:rsidR="00BC29C9" w:rsidRPr="00123BDD">
        <w:rPr>
          <w:b/>
          <w:u w:val="single"/>
        </w:rPr>
        <w:t xml:space="preserve">, </w:t>
      </w:r>
      <w:r w:rsidR="00E5442B">
        <w:rPr>
          <w:b/>
          <w:u w:val="single"/>
        </w:rPr>
        <w:t>April</w:t>
      </w:r>
      <w:r w:rsidR="00BC29C9" w:rsidRPr="00123BDD">
        <w:rPr>
          <w:b/>
          <w:u w:val="single"/>
        </w:rPr>
        <w:t xml:space="preserve"> 2023.</w:t>
      </w:r>
    </w:p>
    <w:p w14:paraId="198E3A53" w14:textId="460E59F3" w:rsidR="00C504AF" w:rsidRPr="00123BDD" w:rsidRDefault="00C504AF" w:rsidP="00C504AF">
      <w:pPr>
        <w:pStyle w:val="Body"/>
        <w:numPr>
          <w:ilvl w:val="0"/>
          <w:numId w:val="39"/>
        </w:numPr>
        <w:spacing w:after="120"/>
      </w:pPr>
      <w:r w:rsidRPr="00123BDD">
        <w:rPr>
          <w:b/>
          <w:bCs/>
        </w:rPr>
        <w:t xml:space="preserve">Summary of resolution: </w:t>
      </w:r>
      <w:r w:rsidR="0055622A" w:rsidRPr="0055622A">
        <w:t>Report on Climate Transition Plan Describing Efforts to Align Financing Activities with GHG Targets</w:t>
      </w:r>
      <w:r w:rsidR="00BE3660">
        <w:t>.</w:t>
      </w:r>
    </w:p>
    <w:p w14:paraId="00604EF5" w14:textId="6C3E76B4" w:rsidR="00C504AF" w:rsidRPr="00123BDD" w:rsidRDefault="00C504AF" w:rsidP="00C504AF">
      <w:pPr>
        <w:pStyle w:val="Body"/>
        <w:numPr>
          <w:ilvl w:val="0"/>
          <w:numId w:val="39"/>
        </w:numPr>
        <w:spacing w:after="120"/>
      </w:pPr>
      <w:r w:rsidRPr="00123BDD">
        <w:rPr>
          <w:b/>
          <w:bCs/>
        </w:rPr>
        <w:t xml:space="preserve">Relevant stewardship priority: </w:t>
      </w:r>
      <w:r w:rsidR="00CC0FD3">
        <w:t>Climate change</w:t>
      </w:r>
      <w:r w:rsidR="00BE3660">
        <w:t>.</w:t>
      </w:r>
    </w:p>
    <w:p w14:paraId="09C1C774" w14:textId="0DA1A27A" w:rsidR="00C504AF" w:rsidRPr="00123BDD" w:rsidRDefault="00C504AF" w:rsidP="00C504AF">
      <w:pPr>
        <w:pStyle w:val="Body"/>
        <w:numPr>
          <w:ilvl w:val="0"/>
          <w:numId w:val="39"/>
        </w:numPr>
        <w:spacing w:after="120"/>
        <w:rPr>
          <w:b/>
        </w:rPr>
      </w:pPr>
      <w:r w:rsidRPr="00123BDD">
        <w:rPr>
          <w:b/>
        </w:rPr>
        <w:t>Approx size of the holding at the date of the vote</w:t>
      </w:r>
      <w:r w:rsidRPr="00123BDD">
        <w:rPr>
          <w:i/>
        </w:rPr>
        <w:t xml:space="preserve">: </w:t>
      </w:r>
      <w:r w:rsidRPr="00123BDD">
        <w:t xml:space="preserve">Not provided by </w:t>
      </w:r>
      <w:proofErr w:type="spellStart"/>
      <w:r w:rsidRPr="00123BDD">
        <w:t>Arrowstreet</w:t>
      </w:r>
      <w:proofErr w:type="spellEnd"/>
      <w:r w:rsidR="00BE3660">
        <w:t>.</w:t>
      </w:r>
    </w:p>
    <w:p w14:paraId="6A0D5454" w14:textId="77777777" w:rsidR="00C504AF" w:rsidRPr="00123BDD" w:rsidRDefault="00C504AF" w:rsidP="00C504AF">
      <w:pPr>
        <w:pStyle w:val="Body"/>
        <w:numPr>
          <w:ilvl w:val="0"/>
          <w:numId w:val="39"/>
        </w:numPr>
        <w:spacing w:after="120"/>
      </w:pPr>
      <w:r w:rsidRPr="00123BDD">
        <w:rPr>
          <w:b/>
          <w:bCs/>
        </w:rPr>
        <w:t xml:space="preserve">Why this vote </w:t>
      </w:r>
      <w:proofErr w:type="gramStart"/>
      <w:r w:rsidRPr="00123BDD">
        <w:rPr>
          <w:b/>
          <w:bCs/>
        </w:rPr>
        <w:t>is considered to be</w:t>
      </w:r>
      <w:proofErr w:type="gramEnd"/>
      <w:r w:rsidRPr="00123BDD">
        <w:rPr>
          <w:b/>
          <w:bCs/>
        </w:rPr>
        <w:t xml:space="preserve"> most significant: </w:t>
      </w:r>
      <w:r w:rsidRPr="00123BDD">
        <w:t>This resolution relates to a stewardship priority that has been set by the Trustee.</w:t>
      </w:r>
    </w:p>
    <w:p w14:paraId="47F1D019" w14:textId="3BC208AA" w:rsidR="008A12BD" w:rsidRPr="00F43AF8" w:rsidRDefault="00110B91" w:rsidP="00F43AF8">
      <w:pPr>
        <w:pStyle w:val="Body"/>
        <w:numPr>
          <w:ilvl w:val="0"/>
          <w:numId w:val="39"/>
        </w:numPr>
        <w:spacing w:after="120"/>
        <w:rPr>
          <w:b/>
          <w:bCs/>
        </w:rPr>
      </w:pPr>
      <w:r>
        <w:rPr>
          <w:b/>
          <w:bCs/>
        </w:rPr>
        <w:t>Compa</w:t>
      </w:r>
      <w:r w:rsidR="009D6107">
        <w:rPr>
          <w:b/>
          <w:bCs/>
        </w:rPr>
        <w:t>n</w:t>
      </w:r>
      <w:r>
        <w:rPr>
          <w:b/>
          <w:bCs/>
        </w:rPr>
        <w:t>y</w:t>
      </w:r>
      <w:r w:rsidR="00F43AF8">
        <w:rPr>
          <w:b/>
          <w:bCs/>
        </w:rPr>
        <w:t xml:space="preserve"> m</w:t>
      </w:r>
      <w:r w:rsidR="00F43AF8" w:rsidRPr="00F43AF8">
        <w:rPr>
          <w:b/>
          <w:bCs/>
        </w:rPr>
        <w:t>anagement recommendation:</w:t>
      </w:r>
      <w:r w:rsidR="00F6505B">
        <w:t xml:space="preserve"> </w:t>
      </w:r>
      <w:r w:rsidR="00F43AF8" w:rsidRPr="00B5446A">
        <w:t>Against</w:t>
      </w:r>
      <w:r w:rsidR="00F43AF8">
        <w:t xml:space="preserve"> </w:t>
      </w:r>
      <w:r w:rsidR="00743CA2">
        <w:rPr>
          <w:b/>
          <w:bCs/>
        </w:rPr>
        <w:t>Fund</w:t>
      </w:r>
      <w:r w:rsidR="00F43AF8">
        <w:rPr>
          <w:b/>
          <w:bCs/>
        </w:rPr>
        <w:t xml:space="preserve"> manager vote</w:t>
      </w:r>
      <w:r w:rsidR="00D80CA1" w:rsidRPr="00F43AF8">
        <w:rPr>
          <w:b/>
          <w:bCs/>
        </w:rPr>
        <w:t xml:space="preserve">: </w:t>
      </w:r>
      <w:r w:rsidR="00D80CA1" w:rsidRPr="00B5446A">
        <w:t>For</w:t>
      </w:r>
      <w:r w:rsidR="002C54CF">
        <w:t xml:space="preserve">. </w:t>
      </w:r>
    </w:p>
    <w:p w14:paraId="2033226E" w14:textId="2687AFEE" w:rsidR="00C54DC6" w:rsidRPr="00123BDD" w:rsidRDefault="00C54DC6" w:rsidP="00197275">
      <w:pPr>
        <w:pStyle w:val="Body"/>
        <w:numPr>
          <w:ilvl w:val="0"/>
          <w:numId w:val="39"/>
        </w:numPr>
        <w:spacing w:after="120"/>
      </w:pPr>
      <w:r w:rsidRPr="00197275">
        <w:rPr>
          <w:b/>
          <w:bCs/>
        </w:rPr>
        <w:t>Rationale:</w:t>
      </w:r>
      <w:r w:rsidRPr="00123BDD">
        <w:t xml:space="preserve"> </w:t>
      </w:r>
      <w:r w:rsidR="00612A9E" w:rsidRPr="00612A9E">
        <w:t xml:space="preserve">A vote </w:t>
      </w:r>
      <w:r w:rsidR="00D20CBF">
        <w:t>for</w:t>
      </w:r>
      <w:r w:rsidR="00612A9E" w:rsidRPr="00612A9E">
        <w:t xml:space="preserve"> this resolution </w:t>
      </w:r>
      <w:r w:rsidR="00D20CBF">
        <w:t>wa</w:t>
      </w:r>
      <w:r w:rsidR="00612A9E" w:rsidRPr="00612A9E">
        <w:t>s warranted</w:t>
      </w:r>
      <w:r w:rsidR="002228B5">
        <w:t xml:space="preserve"> as a</w:t>
      </w:r>
      <w:r w:rsidR="00612A9E" w:rsidRPr="00612A9E">
        <w:t>dditional disclosure about the company's climate transition plan would help shareholders better evaluate the company's strategy for implementing its commitments to advance a low-carbon economy</w:t>
      </w:r>
      <w:r w:rsidR="00927B43">
        <w:t xml:space="preserve"> </w:t>
      </w:r>
      <w:r w:rsidR="00927B43" w:rsidRPr="00927B43">
        <w:t>and the company's management of related risks and opportunities</w:t>
      </w:r>
      <w:r w:rsidR="002228B5">
        <w:t>.</w:t>
      </w:r>
    </w:p>
    <w:p w14:paraId="64BC9A38" w14:textId="197164CE" w:rsidR="00C54DC6" w:rsidRPr="00123BDD" w:rsidRDefault="00C54DC6" w:rsidP="00C54DC6">
      <w:pPr>
        <w:pStyle w:val="Body"/>
        <w:numPr>
          <w:ilvl w:val="0"/>
          <w:numId w:val="39"/>
        </w:numPr>
        <w:spacing w:after="120"/>
      </w:pPr>
      <w:r w:rsidRPr="00123BDD">
        <w:rPr>
          <w:b/>
        </w:rPr>
        <w:t>Was the vote communicated to the company ahead of the vote:</w:t>
      </w:r>
      <w:r w:rsidRPr="00123BDD">
        <w:t xml:space="preserve"> </w:t>
      </w:r>
      <w:r w:rsidR="00BE3660">
        <w:t xml:space="preserve">Not provided by </w:t>
      </w:r>
      <w:proofErr w:type="spellStart"/>
      <w:r w:rsidR="00BE3660">
        <w:t>Arrowstreet</w:t>
      </w:r>
      <w:proofErr w:type="spellEnd"/>
      <w:r w:rsidR="00BE3660">
        <w:t>.</w:t>
      </w:r>
    </w:p>
    <w:p w14:paraId="32754264" w14:textId="77777777" w:rsidR="00C54DC6" w:rsidRPr="00CB56AF" w:rsidRDefault="00C54DC6" w:rsidP="00C54DC6">
      <w:pPr>
        <w:pStyle w:val="Body"/>
        <w:numPr>
          <w:ilvl w:val="0"/>
          <w:numId w:val="39"/>
        </w:numPr>
        <w:rPr>
          <w:i/>
        </w:rPr>
      </w:pPr>
      <w:r w:rsidRPr="00123BDD">
        <w:rPr>
          <w:b/>
        </w:rPr>
        <w:t>Outcome of the vote and next steps</w:t>
      </w:r>
      <w:r w:rsidRPr="00123BDD">
        <w:t xml:space="preserve">: </w:t>
      </w:r>
      <w:proofErr w:type="spellStart"/>
      <w:r w:rsidRPr="00123BDD">
        <w:t>Arrowstreet</w:t>
      </w:r>
      <w:proofErr w:type="spellEnd"/>
      <w:r w:rsidRPr="00123BDD">
        <w:t xml:space="preserve"> did not provide any commentary on next steps taken following outcome of the vote. </w:t>
      </w:r>
    </w:p>
    <w:p w14:paraId="6D206E36" w14:textId="47647B4E" w:rsidR="00DF20B2" w:rsidRDefault="00DF20B2" w:rsidP="00DF20B2">
      <w:pPr>
        <w:pStyle w:val="Body"/>
        <w:rPr>
          <w:b/>
          <w:bCs/>
          <w:color w:val="E93F6F" w:themeColor="accent3"/>
        </w:rPr>
      </w:pPr>
      <w:r w:rsidRPr="00C44471">
        <w:rPr>
          <w:b/>
          <w:bCs/>
          <w:color w:val="E93F6F" w:themeColor="accent3"/>
        </w:rPr>
        <w:t>I</w:t>
      </w:r>
      <w:r>
        <w:rPr>
          <w:b/>
          <w:bCs/>
          <w:color w:val="E93F6F" w:themeColor="accent3"/>
        </w:rPr>
        <w:t>FP</w:t>
      </w:r>
      <w:r w:rsidR="00D57E26">
        <w:rPr>
          <w:b/>
          <w:bCs/>
          <w:color w:val="E93F6F" w:themeColor="accent3"/>
        </w:rPr>
        <w:t xml:space="preserve"> </w:t>
      </w:r>
      <w:r w:rsidRPr="00C44471">
        <w:rPr>
          <w:b/>
          <w:bCs/>
          <w:color w:val="E93F6F" w:themeColor="accent3"/>
        </w:rPr>
        <w:t>(</w:t>
      </w:r>
      <w:r>
        <w:rPr>
          <w:b/>
          <w:bCs/>
          <w:color w:val="E93F6F" w:themeColor="accent3"/>
        </w:rPr>
        <w:t xml:space="preserve">disinvested </w:t>
      </w:r>
      <w:r w:rsidRPr="00153D8D">
        <w:rPr>
          <w:b/>
          <w:color w:val="E93F6F" w:themeColor="accent3"/>
        </w:rPr>
        <w:t>October 2023</w:t>
      </w:r>
      <w:r w:rsidRPr="00153D8D">
        <w:rPr>
          <w:b/>
          <w:bCs/>
          <w:color w:val="E93F6F" w:themeColor="accent3"/>
        </w:rPr>
        <w:t>):</w:t>
      </w:r>
      <w:r w:rsidRPr="00C44471">
        <w:rPr>
          <w:b/>
          <w:bCs/>
          <w:color w:val="E93F6F" w:themeColor="accent3"/>
        </w:rPr>
        <w:t> </w:t>
      </w:r>
    </w:p>
    <w:p w14:paraId="33A9E3EB" w14:textId="387B25A7" w:rsidR="00B65044" w:rsidRPr="00B65044" w:rsidRDefault="003C3118" w:rsidP="00B65044">
      <w:pPr>
        <w:pStyle w:val="Body"/>
        <w:spacing w:after="120"/>
        <w:rPr>
          <w:rFonts w:eastAsia="Times New Roman"/>
          <w:b/>
          <w:bCs/>
          <w:color w:val="auto"/>
          <w:szCs w:val="20"/>
          <w:u w:val="single"/>
          <w:lang w:eastAsia="en-GB"/>
        </w:rPr>
      </w:pPr>
      <w:r>
        <w:rPr>
          <w:rFonts w:eastAsia="Times New Roman"/>
          <w:b/>
          <w:bCs/>
          <w:color w:val="auto"/>
          <w:szCs w:val="20"/>
          <w:u w:val="single"/>
          <w:lang w:eastAsia="en-GB"/>
        </w:rPr>
        <w:t xml:space="preserve">Johnson &amp; </w:t>
      </w:r>
      <w:proofErr w:type="spellStart"/>
      <w:r>
        <w:rPr>
          <w:rFonts w:eastAsia="Times New Roman"/>
          <w:b/>
          <w:bCs/>
          <w:color w:val="auto"/>
          <w:szCs w:val="20"/>
          <w:u w:val="single"/>
          <w:lang w:eastAsia="en-GB"/>
        </w:rPr>
        <w:t>Johnnson</w:t>
      </w:r>
      <w:proofErr w:type="spellEnd"/>
      <w:r w:rsidR="00DF20B2">
        <w:rPr>
          <w:rFonts w:eastAsia="Times New Roman"/>
          <w:b/>
          <w:bCs/>
          <w:color w:val="auto"/>
          <w:szCs w:val="20"/>
          <w:u w:val="single"/>
          <w:lang w:eastAsia="en-GB"/>
        </w:rPr>
        <w:t xml:space="preserve">, </w:t>
      </w:r>
      <w:r>
        <w:rPr>
          <w:rFonts w:eastAsia="Times New Roman"/>
          <w:b/>
          <w:bCs/>
          <w:color w:val="auto"/>
          <w:szCs w:val="20"/>
          <w:u w:val="single"/>
          <w:lang w:eastAsia="en-GB"/>
        </w:rPr>
        <w:t xml:space="preserve">April </w:t>
      </w:r>
      <w:r w:rsidR="00DF20B2">
        <w:rPr>
          <w:rFonts w:eastAsia="Times New Roman"/>
          <w:b/>
          <w:bCs/>
          <w:color w:val="auto"/>
          <w:szCs w:val="20"/>
          <w:u w:val="single"/>
          <w:lang w:eastAsia="en-GB"/>
        </w:rPr>
        <w:t>2023.</w:t>
      </w:r>
    </w:p>
    <w:p w14:paraId="7EC10337" w14:textId="6760551A" w:rsidR="00DF20B2" w:rsidRPr="00123BDD" w:rsidRDefault="00DF20B2" w:rsidP="00DF20B2">
      <w:pPr>
        <w:pStyle w:val="Body"/>
        <w:numPr>
          <w:ilvl w:val="0"/>
          <w:numId w:val="39"/>
        </w:numPr>
        <w:spacing w:after="120"/>
        <w:rPr>
          <w:b/>
          <w:bCs/>
        </w:rPr>
      </w:pPr>
      <w:r w:rsidRPr="00123BDD">
        <w:rPr>
          <w:b/>
          <w:bCs/>
        </w:rPr>
        <w:t>Summary of resolution</w:t>
      </w:r>
      <w:r w:rsidRPr="00CB56AF">
        <w:t xml:space="preserve">: </w:t>
      </w:r>
      <w:r w:rsidR="003C3118" w:rsidRPr="003C3118">
        <w:t>Report on Government Financial Support for Covid-19 Products</w:t>
      </w:r>
      <w:r w:rsidR="00B25BF7">
        <w:t>.</w:t>
      </w:r>
    </w:p>
    <w:p w14:paraId="4DA5418D" w14:textId="285224F7" w:rsidR="00DF20B2" w:rsidRPr="00123BDD" w:rsidRDefault="00DF20B2" w:rsidP="00DF20B2">
      <w:pPr>
        <w:pStyle w:val="Body"/>
        <w:numPr>
          <w:ilvl w:val="0"/>
          <w:numId w:val="39"/>
        </w:numPr>
        <w:spacing w:after="120"/>
      </w:pPr>
      <w:r w:rsidRPr="00123BDD">
        <w:rPr>
          <w:b/>
          <w:bCs/>
        </w:rPr>
        <w:t xml:space="preserve">Relevant stewardship priority: </w:t>
      </w:r>
      <w:r w:rsidRPr="00123BDD">
        <w:t xml:space="preserve">Corporate </w:t>
      </w:r>
      <w:r w:rsidR="00B25BF7">
        <w:t>transparency.</w:t>
      </w:r>
    </w:p>
    <w:p w14:paraId="57D09FB4" w14:textId="396F0A0A" w:rsidR="00DF20B2" w:rsidRPr="00CB56AF" w:rsidRDefault="00DF20B2" w:rsidP="00DF20B2">
      <w:pPr>
        <w:pStyle w:val="Body"/>
        <w:numPr>
          <w:ilvl w:val="0"/>
          <w:numId w:val="39"/>
        </w:numPr>
        <w:spacing w:after="120"/>
        <w:rPr>
          <w:b/>
          <w:bCs/>
        </w:rPr>
      </w:pPr>
      <w:r w:rsidRPr="00123BDD">
        <w:rPr>
          <w:b/>
          <w:bCs/>
        </w:rPr>
        <w:t>Approx size of the holding at the date of the vote</w:t>
      </w:r>
      <w:r w:rsidRPr="00123BDD">
        <w:rPr>
          <w:i/>
          <w:iCs/>
        </w:rPr>
        <w:t xml:space="preserve">: </w:t>
      </w:r>
      <w:r w:rsidR="003C3118">
        <w:t>2.5</w:t>
      </w:r>
      <w:r w:rsidRPr="00123BDD">
        <w:t>%</w:t>
      </w:r>
    </w:p>
    <w:p w14:paraId="798BA24A" w14:textId="77777777" w:rsidR="00DF20B2" w:rsidRPr="00B83845" w:rsidRDefault="00DF20B2" w:rsidP="00DF20B2">
      <w:pPr>
        <w:pStyle w:val="Body"/>
        <w:numPr>
          <w:ilvl w:val="0"/>
          <w:numId w:val="39"/>
        </w:numPr>
        <w:spacing w:after="120"/>
        <w:rPr>
          <w:b/>
          <w:bCs/>
        </w:rPr>
      </w:pPr>
      <w:r w:rsidRPr="00B83845">
        <w:rPr>
          <w:b/>
          <w:bCs/>
        </w:rPr>
        <w:t xml:space="preserve">Why this vote </w:t>
      </w:r>
      <w:proofErr w:type="gramStart"/>
      <w:r w:rsidRPr="00B83845">
        <w:rPr>
          <w:b/>
          <w:bCs/>
        </w:rPr>
        <w:t>is considered to be</w:t>
      </w:r>
      <w:proofErr w:type="gramEnd"/>
      <w:r w:rsidRPr="00B83845">
        <w:rPr>
          <w:b/>
          <w:bCs/>
        </w:rPr>
        <w:t xml:space="preserve"> most significant: </w:t>
      </w:r>
      <w:r w:rsidRPr="00B70F7A">
        <w:rPr>
          <w:rFonts w:eastAsia="Times New Roman"/>
          <w:color w:val="auto"/>
          <w:szCs w:val="20"/>
          <w:lang w:eastAsia="en-GB"/>
        </w:rPr>
        <w:t>This resolution relates to a stewardship priority that has been set by the Trustee. </w:t>
      </w:r>
    </w:p>
    <w:p w14:paraId="7CDDF248" w14:textId="071E3965" w:rsidR="00DF20B2" w:rsidRPr="00CB56AF" w:rsidRDefault="00DF20B2" w:rsidP="00DF20B2">
      <w:pPr>
        <w:pStyle w:val="Body"/>
        <w:numPr>
          <w:ilvl w:val="0"/>
          <w:numId w:val="39"/>
        </w:numPr>
        <w:spacing w:after="120"/>
        <w:rPr>
          <w:b/>
          <w:bCs/>
        </w:rPr>
      </w:pPr>
      <w:r w:rsidRPr="00FE005D">
        <w:rPr>
          <w:b/>
        </w:rPr>
        <w:t>Firm management recommendation:</w:t>
      </w:r>
      <w:r w:rsidRPr="00123BDD">
        <w:t xml:space="preserve"> </w:t>
      </w:r>
      <w:r w:rsidR="00785A21">
        <w:t>Against</w:t>
      </w:r>
      <w:r w:rsidRPr="00123BDD">
        <w:t xml:space="preserve">. </w:t>
      </w:r>
      <w:r w:rsidRPr="00FE005D">
        <w:rPr>
          <w:b/>
          <w:bCs/>
        </w:rPr>
        <w:t xml:space="preserve">Fund manager vote: </w:t>
      </w:r>
      <w:r>
        <w:t>For</w:t>
      </w:r>
    </w:p>
    <w:p w14:paraId="69A4A8AB" w14:textId="21B40E53" w:rsidR="00DF20B2" w:rsidRPr="0036036E" w:rsidRDefault="00DF20B2" w:rsidP="00DF20B2">
      <w:pPr>
        <w:pStyle w:val="Body"/>
        <w:numPr>
          <w:ilvl w:val="0"/>
          <w:numId w:val="39"/>
        </w:numPr>
        <w:spacing w:after="120"/>
        <w:rPr>
          <w:b/>
          <w:bCs/>
        </w:rPr>
      </w:pPr>
      <w:r w:rsidRPr="0036036E">
        <w:rPr>
          <w:b/>
          <w:bCs/>
        </w:rPr>
        <w:t>Rationale:</w:t>
      </w:r>
      <w:r w:rsidRPr="00F51A83">
        <w:t xml:space="preserve"> </w:t>
      </w:r>
      <w:r>
        <w:t>IFP</w:t>
      </w:r>
      <w:r w:rsidRPr="00CB56AF">
        <w:rPr>
          <w:rFonts w:eastAsia="Times New Roman"/>
          <w:color w:val="auto"/>
          <w:szCs w:val="20"/>
          <w:lang w:eastAsia="en-GB"/>
        </w:rPr>
        <w:t xml:space="preserve"> voted </w:t>
      </w:r>
      <w:r w:rsidR="003231B8" w:rsidRPr="003231B8">
        <w:rPr>
          <w:rFonts w:eastAsia="Times New Roman"/>
          <w:color w:val="auto"/>
          <w:szCs w:val="20"/>
          <w:lang w:eastAsia="en-GB"/>
        </w:rPr>
        <w:t xml:space="preserve">in support of a shareholder resolution for a report on government financial support for Covid-19 products. </w:t>
      </w:r>
      <w:r w:rsidR="003231B8">
        <w:rPr>
          <w:rFonts w:eastAsia="Times New Roman"/>
          <w:color w:val="auto"/>
          <w:szCs w:val="20"/>
          <w:lang w:eastAsia="en-GB"/>
        </w:rPr>
        <w:t>IFP</w:t>
      </w:r>
      <w:r w:rsidR="003231B8" w:rsidRPr="003231B8">
        <w:rPr>
          <w:rFonts w:eastAsia="Times New Roman"/>
          <w:color w:val="auto"/>
          <w:szCs w:val="20"/>
          <w:lang w:eastAsia="en-GB"/>
        </w:rPr>
        <w:t xml:space="preserve"> think</w:t>
      </w:r>
      <w:r w:rsidR="001C49BE">
        <w:rPr>
          <w:rFonts w:eastAsia="Times New Roman"/>
          <w:color w:val="auto"/>
          <w:szCs w:val="20"/>
          <w:lang w:eastAsia="en-GB"/>
        </w:rPr>
        <w:t>s</w:t>
      </w:r>
      <w:r w:rsidR="003231B8" w:rsidRPr="003231B8">
        <w:rPr>
          <w:rFonts w:eastAsia="Times New Roman"/>
          <w:color w:val="auto"/>
          <w:szCs w:val="20"/>
          <w:lang w:eastAsia="en-GB"/>
        </w:rPr>
        <w:t xml:space="preserve"> it is important that </w:t>
      </w:r>
      <w:r w:rsidR="003231B8">
        <w:rPr>
          <w:rFonts w:eastAsia="Times New Roman"/>
          <w:color w:val="auto"/>
          <w:szCs w:val="20"/>
          <w:lang w:eastAsia="en-GB"/>
        </w:rPr>
        <w:t>the company</w:t>
      </w:r>
      <w:r w:rsidR="003231B8" w:rsidRPr="003231B8">
        <w:rPr>
          <w:rFonts w:eastAsia="Times New Roman"/>
          <w:color w:val="auto"/>
          <w:szCs w:val="20"/>
          <w:lang w:eastAsia="en-GB"/>
        </w:rPr>
        <w:t xml:space="preserve"> is transparent about how government funding impacts future pricing and access decisions once emergency use authorisation expires for its Covid-19 vaccine. The company could face reputational damage if it is seen to give certain countries preferential treatment. While </w:t>
      </w:r>
      <w:r w:rsidR="003231B8">
        <w:rPr>
          <w:rFonts w:eastAsia="Times New Roman"/>
          <w:color w:val="auto"/>
          <w:szCs w:val="20"/>
          <w:lang w:eastAsia="en-GB"/>
        </w:rPr>
        <w:t>the company</w:t>
      </w:r>
      <w:r w:rsidR="003231B8" w:rsidRPr="003231B8">
        <w:rPr>
          <w:rFonts w:eastAsia="Times New Roman"/>
          <w:color w:val="auto"/>
          <w:szCs w:val="20"/>
          <w:lang w:eastAsia="en-GB"/>
        </w:rPr>
        <w:t xml:space="preserve"> provides some disclosure on government support, it does not disclose these specific points.</w:t>
      </w:r>
    </w:p>
    <w:p w14:paraId="6CE79357" w14:textId="139640E7" w:rsidR="00DF20B2" w:rsidRPr="00123BDD" w:rsidRDefault="00DF20B2" w:rsidP="00DF20B2">
      <w:pPr>
        <w:pStyle w:val="Body"/>
        <w:numPr>
          <w:ilvl w:val="0"/>
          <w:numId w:val="39"/>
        </w:numPr>
        <w:spacing w:after="120"/>
      </w:pPr>
      <w:r w:rsidRPr="00123BDD">
        <w:rPr>
          <w:b/>
          <w:bCs/>
        </w:rPr>
        <w:t>Was the vote communicated to the company ahead of the vote:</w:t>
      </w:r>
      <w:r w:rsidRPr="00123BDD">
        <w:t xml:space="preserve"> </w:t>
      </w:r>
      <w:r w:rsidR="000D4B55">
        <w:t>No</w:t>
      </w:r>
    </w:p>
    <w:p w14:paraId="0B0C6E0A" w14:textId="0644919F" w:rsidR="00DF20B2" w:rsidRPr="00F7234F" w:rsidRDefault="00DF20B2" w:rsidP="00DF20B2">
      <w:pPr>
        <w:pStyle w:val="Body"/>
        <w:numPr>
          <w:ilvl w:val="0"/>
          <w:numId w:val="39"/>
        </w:numPr>
        <w:rPr>
          <w:i/>
        </w:rPr>
      </w:pPr>
      <w:r w:rsidRPr="00123BDD">
        <w:rPr>
          <w:b/>
          <w:bCs/>
        </w:rPr>
        <w:t>Outcome of the vote and next steps</w:t>
      </w:r>
      <w:r w:rsidRPr="00123BDD">
        <w:t xml:space="preserve">: </w:t>
      </w:r>
      <w:r w:rsidR="000D4B55">
        <w:t xml:space="preserve">Vote was </w:t>
      </w:r>
      <w:proofErr w:type="gramStart"/>
      <w:r w:rsidR="000D4B55">
        <w:t>unsuccessful</w:t>
      </w:r>
      <w:proofErr w:type="gramEnd"/>
      <w:r w:rsidR="000D4B55">
        <w:t xml:space="preserve"> and the resolution was not approved. </w:t>
      </w:r>
      <w:r w:rsidR="001C6069">
        <w:t>IFP will continue to monitor the material risks related to this topic.</w:t>
      </w:r>
    </w:p>
    <w:p w14:paraId="4CBBD945" w14:textId="3DFFD250" w:rsidR="00DF20B2" w:rsidRDefault="00DF20B2" w:rsidP="00DF20B2">
      <w:pPr>
        <w:pStyle w:val="Body"/>
        <w:rPr>
          <w:b/>
          <w:bCs/>
          <w:color w:val="E93F6F" w:themeColor="accent3"/>
        </w:rPr>
      </w:pPr>
      <w:r w:rsidRPr="00102019">
        <w:rPr>
          <w:b/>
          <w:bCs/>
          <w:color w:val="E93F6F" w:themeColor="accent3"/>
        </w:rPr>
        <w:t>L</w:t>
      </w:r>
      <w:r>
        <w:rPr>
          <w:b/>
          <w:bCs/>
          <w:color w:val="E93F6F" w:themeColor="accent3"/>
        </w:rPr>
        <w:t>TL</w:t>
      </w:r>
      <w:r w:rsidRPr="00102019">
        <w:rPr>
          <w:b/>
          <w:bCs/>
          <w:color w:val="E93F6F" w:themeColor="accent3"/>
        </w:rPr>
        <w:t xml:space="preserve"> (</w:t>
      </w:r>
      <w:r>
        <w:rPr>
          <w:b/>
          <w:bCs/>
          <w:color w:val="E93F6F" w:themeColor="accent3"/>
        </w:rPr>
        <w:t>disinvested August 2023</w:t>
      </w:r>
      <w:r w:rsidRPr="00102019">
        <w:rPr>
          <w:b/>
          <w:bCs/>
          <w:color w:val="E93F6F" w:themeColor="accent3"/>
        </w:rPr>
        <w:t>): </w:t>
      </w:r>
    </w:p>
    <w:p w14:paraId="5D8B1377" w14:textId="77777777" w:rsidR="00DF20B2" w:rsidRPr="00CB56AF" w:rsidRDefault="00DF20B2" w:rsidP="00DF20B2">
      <w:pPr>
        <w:pStyle w:val="Body"/>
        <w:rPr>
          <w:b/>
          <w:bCs/>
          <w:color w:val="auto"/>
          <w:u w:val="single"/>
        </w:rPr>
      </w:pPr>
      <w:r w:rsidRPr="00CB56AF">
        <w:rPr>
          <w:b/>
          <w:bCs/>
          <w:color w:val="auto"/>
          <w:u w:val="single"/>
        </w:rPr>
        <w:t>PayPal</w:t>
      </w:r>
      <w:r>
        <w:rPr>
          <w:b/>
          <w:bCs/>
          <w:color w:val="auto"/>
          <w:u w:val="single"/>
        </w:rPr>
        <w:t>, May 2023.</w:t>
      </w:r>
    </w:p>
    <w:p w14:paraId="3B76AF8C" w14:textId="77777777" w:rsidR="00DF20B2" w:rsidRPr="00123BDD" w:rsidRDefault="00DF20B2" w:rsidP="00DF20B2">
      <w:pPr>
        <w:pStyle w:val="Body"/>
        <w:numPr>
          <w:ilvl w:val="0"/>
          <w:numId w:val="39"/>
        </w:numPr>
        <w:spacing w:after="120"/>
        <w:rPr>
          <w:b/>
          <w:bCs/>
        </w:rPr>
      </w:pPr>
      <w:r w:rsidRPr="00123BDD">
        <w:rPr>
          <w:b/>
          <w:bCs/>
        </w:rPr>
        <w:t>Summary of resolution:</w:t>
      </w:r>
      <w:r>
        <w:rPr>
          <w:b/>
          <w:bCs/>
        </w:rPr>
        <w:t xml:space="preserve"> </w:t>
      </w:r>
      <w:r w:rsidRPr="00CB56AF">
        <w:t>Advisory vote on Executive compensation</w:t>
      </w:r>
    </w:p>
    <w:p w14:paraId="5339563D" w14:textId="4F47E3F3" w:rsidR="00DF20B2" w:rsidRPr="00123BDD" w:rsidRDefault="00DF20B2" w:rsidP="00DF20B2">
      <w:pPr>
        <w:pStyle w:val="Body"/>
        <w:numPr>
          <w:ilvl w:val="0"/>
          <w:numId w:val="39"/>
        </w:numPr>
        <w:spacing w:after="120"/>
      </w:pPr>
      <w:r w:rsidRPr="00123BDD">
        <w:rPr>
          <w:b/>
          <w:bCs/>
        </w:rPr>
        <w:t xml:space="preserve">Relevant stewardship priority: </w:t>
      </w:r>
      <w:r w:rsidRPr="00123BDD">
        <w:t xml:space="preserve">Corporate </w:t>
      </w:r>
      <w:r w:rsidR="001C49BE">
        <w:t>transparency</w:t>
      </w:r>
    </w:p>
    <w:p w14:paraId="59AE4DD5" w14:textId="73E0EAC3" w:rsidR="00DF20B2" w:rsidRPr="00CB56AF" w:rsidRDefault="00DF20B2" w:rsidP="00DF20B2">
      <w:pPr>
        <w:pStyle w:val="Body"/>
        <w:numPr>
          <w:ilvl w:val="0"/>
          <w:numId w:val="39"/>
        </w:numPr>
        <w:spacing w:after="120"/>
        <w:rPr>
          <w:b/>
          <w:bCs/>
        </w:rPr>
      </w:pPr>
      <w:r w:rsidRPr="00123BDD">
        <w:rPr>
          <w:b/>
          <w:bCs/>
        </w:rPr>
        <w:t>Approx size of the holding at the date of the vote</w:t>
      </w:r>
      <w:r w:rsidRPr="00123BDD">
        <w:rPr>
          <w:i/>
          <w:iCs/>
        </w:rPr>
        <w:t xml:space="preserve">: </w:t>
      </w:r>
      <w:r>
        <w:t>2</w:t>
      </w:r>
      <w:r w:rsidRPr="00123BDD">
        <w:t>.</w:t>
      </w:r>
      <w:r w:rsidR="00E04C18">
        <w:t>9</w:t>
      </w:r>
      <w:r w:rsidRPr="00123BDD">
        <w:t>%</w:t>
      </w:r>
    </w:p>
    <w:p w14:paraId="0EECBEE5" w14:textId="77777777" w:rsidR="00DF20B2" w:rsidRPr="00CB56AF" w:rsidRDefault="00DF20B2" w:rsidP="00DF20B2">
      <w:pPr>
        <w:pStyle w:val="Body"/>
        <w:numPr>
          <w:ilvl w:val="0"/>
          <w:numId w:val="39"/>
        </w:numPr>
        <w:spacing w:after="120"/>
        <w:rPr>
          <w:b/>
          <w:bCs/>
        </w:rPr>
      </w:pPr>
      <w:r w:rsidRPr="00FE005D">
        <w:rPr>
          <w:b/>
          <w:bCs/>
        </w:rPr>
        <w:t xml:space="preserve">Why this vote </w:t>
      </w:r>
      <w:proofErr w:type="gramStart"/>
      <w:r w:rsidRPr="00FE005D">
        <w:rPr>
          <w:b/>
          <w:bCs/>
        </w:rPr>
        <w:t>is considered to be</w:t>
      </w:r>
      <w:proofErr w:type="gramEnd"/>
      <w:r w:rsidRPr="00FE005D">
        <w:rPr>
          <w:b/>
          <w:bCs/>
        </w:rPr>
        <w:t xml:space="preserve"> most significant: </w:t>
      </w:r>
      <w:r w:rsidRPr="00B70F7A">
        <w:rPr>
          <w:rFonts w:eastAsia="Times New Roman"/>
          <w:color w:val="auto"/>
          <w:szCs w:val="20"/>
          <w:lang w:eastAsia="en-GB"/>
        </w:rPr>
        <w:t>This resolution relates to a stewardship priority that has been set by the Trustee. </w:t>
      </w:r>
    </w:p>
    <w:p w14:paraId="2B641ADA" w14:textId="7DC640A8" w:rsidR="00DF20B2" w:rsidRPr="00CB56AF" w:rsidRDefault="00DF20B2" w:rsidP="00DF20B2">
      <w:pPr>
        <w:pStyle w:val="Body"/>
        <w:numPr>
          <w:ilvl w:val="0"/>
          <w:numId w:val="39"/>
        </w:numPr>
        <w:spacing w:after="120"/>
        <w:rPr>
          <w:b/>
          <w:bCs/>
        </w:rPr>
      </w:pPr>
      <w:r w:rsidRPr="00FE005D">
        <w:rPr>
          <w:b/>
        </w:rPr>
        <w:t>Firm management recommendation:</w:t>
      </w:r>
      <w:r w:rsidRPr="00123BDD">
        <w:t xml:space="preserve"> </w:t>
      </w:r>
      <w:r w:rsidR="000D6AFF">
        <w:t>For</w:t>
      </w:r>
      <w:r w:rsidRPr="00123BDD">
        <w:t xml:space="preserve">. </w:t>
      </w:r>
      <w:r w:rsidRPr="00FE005D">
        <w:rPr>
          <w:b/>
          <w:bCs/>
        </w:rPr>
        <w:t xml:space="preserve">Fund manager vote: </w:t>
      </w:r>
      <w:r>
        <w:t>Against</w:t>
      </w:r>
    </w:p>
    <w:p w14:paraId="3A66F7DC" w14:textId="4F4FAE6B" w:rsidR="00DF20B2" w:rsidRPr="00CB56AF" w:rsidRDefault="00DF20B2" w:rsidP="00DF20B2">
      <w:pPr>
        <w:pStyle w:val="Body"/>
        <w:numPr>
          <w:ilvl w:val="0"/>
          <w:numId w:val="39"/>
        </w:numPr>
        <w:spacing w:after="120"/>
        <w:rPr>
          <w:b/>
          <w:bCs/>
        </w:rPr>
      </w:pPr>
      <w:r w:rsidRPr="008219A8">
        <w:rPr>
          <w:b/>
          <w:bCs/>
        </w:rPr>
        <w:t>Rationale:</w:t>
      </w:r>
      <w:r w:rsidRPr="00F51A83">
        <w:t xml:space="preserve"> </w:t>
      </w:r>
      <w:r>
        <w:rPr>
          <w:rFonts w:eastAsia="Times New Roman"/>
          <w:color w:val="auto"/>
          <w:szCs w:val="20"/>
          <w:lang w:eastAsia="en-GB"/>
        </w:rPr>
        <w:t>LTL</w:t>
      </w:r>
      <w:r w:rsidRPr="00CB56AF">
        <w:rPr>
          <w:rFonts w:eastAsia="Times New Roman"/>
          <w:color w:val="auto"/>
          <w:szCs w:val="20"/>
          <w:lang w:eastAsia="en-GB"/>
        </w:rPr>
        <w:t xml:space="preserve"> pays careful consideration to the compensation policies of the companies in which </w:t>
      </w:r>
      <w:r w:rsidR="00E7666D">
        <w:rPr>
          <w:rFonts w:eastAsia="Times New Roman"/>
          <w:color w:val="auto"/>
          <w:szCs w:val="20"/>
          <w:lang w:eastAsia="en-GB"/>
        </w:rPr>
        <w:t>it</w:t>
      </w:r>
      <w:r w:rsidR="00E7666D" w:rsidRPr="00CB56AF">
        <w:rPr>
          <w:rFonts w:eastAsia="Times New Roman"/>
          <w:color w:val="auto"/>
          <w:szCs w:val="20"/>
          <w:lang w:eastAsia="en-GB"/>
        </w:rPr>
        <w:t xml:space="preserve"> </w:t>
      </w:r>
      <w:r w:rsidRPr="00CB56AF">
        <w:rPr>
          <w:rFonts w:eastAsia="Times New Roman"/>
          <w:color w:val="auto"/>
          <w:szCs w:val="20"/>
          <w:lang w:eastAsia="en-GB"/>
        </w:rPr>
        <w:t>invest</w:t>
      </w:r>
      <w:r w:rsidR="00E7666D">
        <w:rPr>
          <w:rFonts w:eastAsia="Times New Roman"/>
          <w:color w:val="auto"/>
          <w:szCs w:val="20"/>
          <w:lang w:eastAsia="en-GB"/>
        </w:rPr>
        <w:t>s</w:t>
      </w:r>
      <w:r w:rsidRPr="00CB56AF">
        <w:rPr>
          <w:rFonts w:eastAsia="Times New Roman"/>
          <w:color w:val="auto"/>
          <w:szCs w:val="20"/>
          <w:lang w:eastAsia="en-GB"/>
        </w:rPr>
        <w:t>.</w:t>
      </w:r>
      <w:r>
        <w:rPr>
          <w:rFonts w:eastAsia="Times New Roman"/>
          <w:color w:val="auto"/>
          <w:szCs w:val="20"/>
          <w:lang w:eastAsia="en-GB"/>
        </w:rPr>
        <w:t xml:space="preserve"> </w:t>
      </w:r>
      <w:r w:rsidRPr="00CB56AF">
        <w:rPr>
          <w:rFonts w:eastAsia="Times New Roman"/>
          <w:color w:val="auto"/>
          <w:szCs w:val="20"/>
          <w:lang w:eastAsia="en-GB"/>
        </w:rPr>
        <w:t xml:space="preserve">In assessing their compensation policies </w:t>
      </w:r>
      <w:r>
        <w:rPr>
          <w:rFonts w:eastAsia="Times New Roman"/>
          <w:color w:val="auto"/>
          <w:szCs w:val="20"/>
          <w:lang w:eastAsia="en-GB"/>
        </w:rPr>
        <w:t>LTL</w:t>
      </w:r>
      <w:r w:rsidRPr="00CB56AF">
        <w:rPr>
          <w:rFonts w:eastAsia="Times New Roman"/>
          <w:color w:val="auto"/>
          <w:szCs w:val="20"/>
          <w:lang w:eastAsia="en-GB"/>
        </w:rPr>
        <w:t xml:space="preserve"> focus</w:t>
      </w:r>
      <w:r w:rsidR="00E7666D">
        <w:rPr>
          <w:rFonts w:eastAsia="Times New Roman"/>
          <w:color w:val="auto"/>
          <w:szCs w:val="20"/>
          <w:lang w:eastAsia="en-GB"/>
        </w:rPr>
        <w:t>es</w:t>
      </w:r>
      <w:r w:rsidRPr="00CB56AF">
        <w:rPr>
          <w:rFonts w:eastAsia="Times New Roman"/>
          <w:color w:val="auto"/>
          <w:szCs w:val="20"/>
          <w:lang w:eastAsia="en-GB"/>
        </w:rPr>
        <w:t xml:space="preserve"> more on how incentives are structured rather than the </w:t>
      </w:r>
      <w:r w:rsidRPr="00CB56AF">
        <w:rPr>
          <w:rFonts w:eastAsia="Times New Roman"/>
          <w:color w:val="auto"/>
          <w:szCs w:val="20"/>
          <w:lang w:eastAsia="en-GB"/>
        </w:rPr>
        <w:lastRenderedPageBreak/>
        <w:t xml:space="preserve">actual </w:t>
      </w:r>
      <w:r w:rsidR="007803BD">
        <w:rPr>
          <w:rFonts w:eastAsia="Times New Roman"/>
          <w:color w:val="auto"/>
          <w:szCs w:val="20"/>
          <w:lang w:eastAsia="en-GB"/>
        </w:rPr>
        <w:t>size</w:t>
      </w:r>
      <w:r w:rsidR="007803BD" w:rsidRPr="00CB56AF">
        <w:rPr>
          <w:rFonts w:eastAsia="Times New Roman"/>
          <w:color w:val="auto"/>
          <w:szCs w:val="20"/>
          <w:lang w:eastAsia="en-GB"/>
        </w:rPr>
        <w:t xml:space="preserve"> </w:t>
      </w:r>
      <w:r w:rsidRPr="00CB56AF">
        <w:rPr>
          <w:rFonts w:eastAsia="Times New Roman"/>
          <w:color w:val="auto"/>
          <w:szCs w:val="20"/>
          <w:lang w:eastAsia="en-GB"/>
        </w:rPr>
        <w:t>of compensation.</w:t>
      </w:r>
      <w:r>
        <w:rPr>
          <w:rFonts w:eastAsia="Times New Roman"/>
          <w:color w:val="auto"/>
          <w:szCs w:val="20"/>
          <w:lang w:eastAsia="en-GB"/>
        </w:rPr>
        <w:t xml:space="preserve"> LTL </w:t>
      </w:r>
      <w:r w:rsidRPr="00CB56AF">
        <w:rPr>
          <w:rFonts w:eastAsia="Times New Roman"/>
          <w:color w:val="auto"/>
          <w:szCs w:val="20"/>
          <w:lang w:eastAsia="en-GB"/>
        </w:rPr>
        <w:t xml:space="preserve">can be comfortable with large rewards provided that the incentives are aligned with shareholders’ interests and </w:t>
      </w:r>
      <w:r>
        <w:rPr>
          <w:rFonts w:eastAsia="Times New Roman"/>
          <w:color w:val="auto"/>
          <w:szCs w:val="20"/>
          <w:lang w:eastAsia="en-GB"/>
        </w:rPr>
        <w:t>thei</w:t>
      </w:r>
      <w:r w:rsidRPr="00CB56AF">
        <w:rPr>
          <w:rFonts w:eastAsia="Times New Roman"/>
          <w:color w:val="auto"/>
          <w:szCs w:val="20"/>
          <w:lang w:eastAsia="en-GB"/>
        </w:rPr>
        <w:t>r principles.</w:t>
      </w:r>
      <w:r>
        <w:rPr>
          <w:rFonts w:eastAsia="Times New Roman"/>
          <w:color w:val="auto"/>
          <w:szCs w:val="20"/>
          <w:lang w:eastAsia="en-GB"/>
        </w:rPr>
        <w:t xml:space="preserve"> </w:t>
      </w:r>
      <w:r w:rsidRPr="00CB56AF">
        <w:rPr>
          <w:rFonts w:eastAsia="Times New Roman"/>
          <w:color w:val="auto"/>
          <w:szCs w:val="20"/>
          <w:lang w:eastAsia="en-GB"/>
        </w:rPr>
        <w:t xml:space="preserve">In the case for PayPal </w:t>
      </w:r>
      <w:r>
        <w:rPr>
          <w:rFonts w:eastAsia="Times New Roman"/>
          <w:color w:val="auto"/>
          <w:szCs w:val="20"/>
          <w:lang w:eastAsia="en-GB"/>
        </w:rPr>
        <w:t>LTL</w:t>
      </w:r>
      <w:r w:rsidRPr="00CB56AF">
        <w:rPr>
          <w:rFonts w:eastAsia="Times New Roman"/>
          <w:color w:val="auto"/>
          <w:szCs w:val="20"/>
          <w:lang w:eastAsia="en-GB"/>
        </w:rPr>
        <w:t xml:space="preserve"> d</w:t>
      </w:r>
      <w:r w:rsidR="007803BD">
        <w:rPr>
          <w:rFonts w:eastAsia="Times New Roman"/>
          <w:color w:val="auto"/>
          <w:szCs w:val="20"/>
          <w:lang w:eastAsia="en-GB"/>
        </w:rPr>
        <w:t>id</w:t>
      </w:r>
      <w:r w:rsidRPr="00CB56AF">
        <w:rPr>
          <w:rFonts w:eastAsia="Times New Roman"/>
          <w:color w:val="auto"/>
          <w:szCs w:val="20"/>
          <w:lang w:eastAsia="en-GB"/>
        </w:rPr>
        <w:t xml:space="preserve"> not believe that the company’s compensation policy is aligned with the </w:t>
      </w:r>
      <w:proofErr w:type="gramStart"/>
      <w:r w:rsidRPr="00CB56AF">
        <w:rPr>
          <w:rFonts w:eastAsia="Times New Roman"/>
          <w:color w:val="auto"/>
          <w:szCs w:val="20"/>
          <w:lang w:eastAsia="en-GB"/>
        </w:rPr>
        <w:t>long term</w:t>
      </w:r>
      <w:proofErr w:type="gramEnd"/>
      <w:r w:rsidRPr="00CB56AF">
        <w:rPr>
          <w:rFonts w:eastAsia="Times New Roman"/>
          <w:color w:val="auto"/>
          <w:szCs w:val="20"/>
          <w:lang w:eastAsia="en-GB"/>
        </w:rPr>
        <w:t xml:space="preserve"> best interests of the shareholders and have been engaging with the company on this matter over a number of years.</w:t>
      </w:r>
      <w:r>
        <w:rPr>
          <w:rFonts w:eastAsia="Times New Roman"/>
          <w:color w:val="auto"/>
          <w:szCs w:val="20"/>
          <w:lang w:eastAsia="en-GB"/>
        </w:rPr>
        <w:t xml:space="preserve"> LTL</w:t>
      </w:r>
      <w:r w:rsidRPr="00CB56AF">
        <w:rPr>
          <w:rFonts w:eastAsia="Times New Roman"/>
          <w:color w:val="auto"/>
          <w:szCs w:val="20"/>
          <w:lang w:eastAsia="en-GB"/>
        </w:rPr>
        <w:t xml:space="preserve"> have engaged with the company on </w:t>
      </w:r>
      <w:proofErr w:type="gramStart"/>
      <w:r w:rsidRPr="00CB56AF">
        <w:rPr>
          <w:rFonts w:eastAsia="Times New Roman"/>
          <w:color w:val="auto"/>
          <w:szCs w:val="20"/>
          <w:lang w:eastAsia="en-GB"/>
        </w:rPr>
        <w:t>a number of</w:t>
      </w:r>
      <w:proofErr w:type="gramEnd"/>
      <w:r w:rsidRPr="00CB56AF">
        <w:rPr>
          <w:rFonts w:eastAsia="Times New Roman"/>
          <w:color w:val="auto"/>
          <w:szCs w:val="20"/>
          <w:lang w:eastAsia="en-GB"/>
        </w:rPr>
        <w:t xml:space="preserve"> occasions to share </w:t>
      </w:r>
      <w:r>
        <w:rPr>
          <w:rFonts w:eastAsia="Times New Roman"/>
          <w:color w:val="auto"/>
          <w:szCs w:val="20"/>
          <w:lang w:eastAsia="en-GB"/>
        </w:rPr>
        <w:t>thei</w:t>
      </w:r>
      <w:r w:rsidRPr="00CB56AF">
        <w:rPr>
          <w:rFonts w:eastAsia="Times New Roman"/>
          <w:color w:val="auto"/>
          <w:szCs w:val="20"/>
          <w:lang w:eastAsia="en-GB"/>
        </w:rPr>
        <w:t>r views regarding compensation best practice and continue</w:t>
      </w:r>
      <w:r w:rsidR="009F5B91">
        <w:rPr>
          <w:rFonts w:eastAsia="Times New Roman"/>
          <w:color w:val="auto"/>
          <w:szCs w:val="20"/>
          <w:lang w:eastAsia="en-GB"/>
        </w:rPr>
        <w:t>s</w:t>
      </w:r>
      <w:r w:rsidRPr="00CB56AF">
        <w:rPr>
          <w:rFonts w:eastAsia="Times New Roman"/>
          <w:color w:val="auto"/>
          <w:szCs w:val="20"/>
          <w:lang w:eastAsia="en-GB"/>
        </w:rPr>
        <w:t xml:space="preserve"> to believe that PayPal could foster greater shareholder alignment through improved compensation structures.</w:t>
      </w:r>
    </w:p>
    <w:p w14:paraId="1B3F8485" w14:textId="77777777" w:rsidR="00DF20B2" w:rsidRPr="00123BDD" w:rsidRDefault="00DF20B2" w:rsidP="00DF20B2">
      <w:pPr>
        <w:pStyle w:val="Body"/>
        <w:numPr>
          <w:ilvl w:val="0"/>
          <w:numId w:val="39"/>
        </w:numPr>
        <w:spacing w:after="120"/>
      </w:pPr>
      <w:r w:rsidRPr="00123BDD">
        <w:rPr>
          <w:b/>
          <w:bCs/>
        </w:rPr>
        <w:t>Was the vote communicated to the company ahead of the vote:</w:t>
      </w:r>
      <w:r w:rsidRPr="00123BDD">
        <w:t xml:space="preserve"> </w:t>
      </w:r>
      <w:proofErr w:type="gramStart"/>
      <w:r>
        <w:t>Yes</w:t>
      </w:r>
      <w:proofErr w:type="gramEnd"/>
    </w:p>
    <w:p w14:paraId="470D87D2" w14:textId="3EE32A18" w:rsidR="00DF20B2" w:rsidRPr="00DF20B2" w:rsidRDefault="00DF20B2" w:rsidP="00BC29C9">
      <w:pPr>
        <w:pStyle w:val="Body"/>
        <w:numPr>
          <w:ilvl w:val="0"/>
          <w:numId w:val="39"/>
        </w:numPr>
        <w:rPr>
          <w:i/>
        </w:rPr>
      </w:pPr>
      <w:r w:rsidRPr="00123BDD">
        <w:rPr>
          <w:b/>
          <w:bCs/>
        </w:rPr>
        <w:t>Outcome of the vote and next steps</w:t>
      </w:r>
      <w:r w:rsidRPr="00123BDD">
        <w:t xml:space="preserve">: </w:t>
      </w:r>
      <w:r w:rsidR="004F0287">
        <w:t>Resolution was approved. LTL</w:t>
      </w:r>
      <w:r w:rsidR="004F0287" w:rsidRPr="004F0287">
        <w:t xml:space="preserve"> will continue to engage with the company on this matter</w:t>
      </w:r>
      <w:r w:rsidR="004F0287">
        <w:t>.</w:t>
      </w:r>
    </w:p>
    <w:p w14:paraId="69BD1ADA" w14:textId="4CFB4868" w:rsidR="00BC29C9" w:rsidRDefault="00BC29C9" w:rsidP="00BC29C9">
      <w:pPr>
        <w:pStyle w:val="Body"/>
        <w:rPr>
          <w:b/>
          <w:bCs/>
          <w:color w:val="E93F6F" w:themeColor="accent3"/>
        </w:rPr>
      </w:pPr>
      <w:r w:rsidRPr="00123BDD">
        <w:rPr>
          <w:b/>
          <w:bCs/>
          <w:color w:val="E93F6F" w:themeColor="accent3"/>
        </w:rPr>
        <w:t>WCM (</w:t>
      </w:r>
      <w:r w:rsidR="001F6AD8">
        <w:rPr>
          <w:b/>
          <w:bCs/>
          <w:color w:val="E93F6F" w:themeColor="accent3"/>
        </w:rPr>
        <w:t>disinvested October 2023</w:t>
      </w:r>
      <w:r w:rsidRPr="00123BDD">
        <w:rPr>
          <w:b/>
          <w:bCs/>
          <w:color w:val="E93F6F" w:themeColor="accent3"/>
        </w:rPr>
        <w:t>):</w:t>
      </w:r>
    </w:p>
    <w:p w14:paraId="097F528A" w14:textId="77777777" w:rsidR="00A40FB7" w:rsidRDefault="005C588F" w:rsidP="00A40FB7">
      <w:pPr>
        <w:pStyle w:val="Body"/>
        <w:spacing w:after="120"/>
        <w:rPr>
          <w:b/>
          <w:u w:val="single"/>
        </w:rPr>
      </w:pPr>
      <w:r>
        <w:rPr>
          <w:b/>
          <w:u w:val="single"/>
        </w:rPr>
        <w:t xml:space="preserve">Amazon, </w:t>
      </w:r>
      <w:r w:rsidR="006E3A8A">
        <w:rPr>
          <w:b/>
          <w:u w:val="single"/>
        </w:rPr>
        <w:t>May</w:t>
      </w:r>
      <w:r w:rsidR="00BC29C9" w:rsidRPr="00123BDD">
        <w:rPr>
          <w:b/>
          <w:u w:val="single"/>
        </w:rPr>
        <w:t xml:space="preserve"> 2023.</w:t>
      </w:r>
    </w:p>
    <w:p w14:paraId="31CBA2E1" w14:textId="66BFA0A3" w:rsidR="00294672" w:rsidRPr="00834939" w:rsidRDefault="00294672" w:rsidP="00294672">
      <w:pPr>
        <w:pStyle w:val="Body"/>
        <w:numPr>
          <w:ilvl w:val="0"/>
          <w:numId w:val="39"/>
        </w:numPr>
        <w:spacing w:after="120"/>
        <w:rPr>
          <w:b/>
          <w:u w:val="single"/>
        </w:rPr>
      </w:pPr>
      <w:r w:rsidRPr="00A40FB7">
        <w:rPr>
          <w:b/>
          <w:bCs/>
        </w:rPr>
        <w:t xml:space="preserve">Summary of resolution: </w:t>
      </w:r>
      <w:r w:rsidRPr="00A40FB7">
        <w:rPr>
          <w:rFonts w:eastAsia="Times New Roman"/>
          <w:color w:val="auto"/>
          <w:szCs w:val="20"/>
          <w:lang w:eastAsia="en-GB"/>
        </w:rPr>
        <w:t>Shareholder Proposal Requestion Additional Reporting on Freedom of Association</w:t>
      </w:r>
      <w:r w:rsidR="004B360B">
        <w:rPr>
          <w:rFonts w:eastAsia="Times New Roman"/>
          <w:color w:val="auto"/>
          <w:szCs w:val="20"/>
          <w:lang w:eastAsia="en-GB"/>
        </w:rPr>
        <w:t>.</w:t>
      </w:r>
    </w:p>
    <w:p w14:paraId="65EE6FBE" w14:textId="5F159632" w:rsidR="00294672" w:rsidRPr="00123BDD" w:rsidRDefault="00294672" w:rsidP="00294672">
      <w:pPr>
        <w:pStyle w:val="Body"/>
        <w:numPr>
          <w:ilvl w:val="0"/>
          <w:numId w:val="39"/>
        </w:numPr>
        <w:spacing w:after="120"/>
      </w:pPr>
      <w:r w:rsidRPr="00A40FB7">
        <w:rPr>
          <w:b/>
          <w:bCs/>
        </w:rPr>
        <w:t xml:space="preserve">Relevant stewardship priority: </w:t>
      </w:r>
      <w:r w:rsidR="004B360B">
        <w:t>Human rights.</w:t>
      </w:r>
    </w:p>
    <w:p w14:paraId="5859781A" w14:textId="169B1F79" w:rsidR="00BC29C9" w:rsidRPr="00123BDD" w:rsidRDefault="00BC29C9" w:rsidP="00BC29C9">
      <w:pPr>
        <w:pStyle w:val="Body"/>
        <w:numPr>
          <w:ilvl w:val="0"/>
          <w:numId w:val="39"/>
        </w:numPr>
        <w:spacing w:after="120"/>
        <w:rPr>
          <w:b/>
          <w:bCs/>
        </w:rPr>
      </w:pPr>
      <w:r w:rsidRPr="00123BDD">
        <w:rPr>
          <w:b/>
          <w:bCs/>
        </w:rPr>
        <w:t>Approx size of the holding at the date of the vote</w:t>
      </w:r>
      <w:r w:rsidRPr="00123BDD">
        <w:rPr>
          <w:i/>
          <w:iCs/>
        </w:rPr>
        <w:t xml:space="preserve">: </w:t>
      </w:r>
      <w:r w:rsidR="006E3A8A">
        <w:t>2</w:t>
      </w:r>
      <w:r w:rsidRPr="00123BDD">
        <w:t>.</w:t>
      </w:r>
      <w:r w:rsidR="00CF369D">
        <w:t>5</w:t>
      </w:r>
      <w:r w:rsidRPr="00123BDD">
        <w:t>%</w:t>
      </w:r>
    </w:p>
    <w:p w14:paraId="7B616D29" w14:textId="77777777" w:rsidR="00BC29C9" w:rsidRPr="00123BDD" w:rsidRDefault="00BC29C9" w:rsidP="00BC29C9">
      <w:pPr>
        <w:pStyle w:val="Body"/>
        <w:numPr>
          <w:ilvl w:val="0"/>
          <w:numId w:val="39"/>
        </w:numPr>
        <w:spacing w:after="120"/>
      </w:pPr>
      <w:r w:rsidRPr="00123BDD">
        <w:rPr>
          <w:b/>
          <w:bCs/>
        </w:rPr>
        <w:t xml:space="preserve">Why this vote </w:t>
      </w:r>
      <w:proofErr w:type="gramStart"/>
      <w:r w:rsidRPr="00123BDD">
        <w:rPr>
          <w:b/>
          <w:bCs/>
        </w:rPr>
        <w:t>is considered to be</w:t>
      </w:r>
      <w:proofErr w:type="gramEnd"/>
      <w:r w:rsidRPr="00123BDD">
        <w:rPr>
          <w:b/>
          <w:bCs/>
        </w:rPr>
        <w:t xml:space="preserve"> most significant: </w:t>
      </w:r>
      <w:r w:rsidRPr="00123BDD">
        <w:t>This resolution relates to a stewardship priority that has been set by the Trustee.</w:t>
      </w:r>
    </w:p>
    <w:p w14:paraId="63A5B76D" w14:textId="33369028" w:rsidR="00BC29C9" w:rsidRPr="00123BDD" w:rsidRDefault="00BC29C9" w:rsidP="00BC29C9">
      <w:pPr>
        <w:pStyle w:val="Body"/>
        <w:numPr>
          <w:ilvl w:val="0"/>
          <w:numId w:val="39"/>
        </w:numPr>
        <w:spacing w:after="120"/>
        <w:rPr>
          <w:b/>
          <w:bCs/>
        </w:rPr>
      </w:pPr>
      <w:r w:rsidRPr="00123BDD">
        <w:rPr>
          <w:b/>
        </w:rPr>
        <w:t>Firm management recommendation:</w:t>
      </w:r>
      <w:r w:rsidRPr="00123BDD">
        <w:t xml:space="preserve"> </w:t>
      </w:r>
      <w:r w:rsidR="00A668D6">
        <w:t>For</w:t>
      </w:r>
      <w:r w:rsidRPr="00123BDD">
        <w:t xml:space="preserve">. </w:t>
      </w:r>
      <w:r w:rsidRPr="00123BDD">
        <w:rPr>
          <w:b/>
          <w:bCs/>
        </w:rPr>
        <w:t xml:space="preserve">Fund manager vote: </w:t>
      </w:r>
      <w:r w:rsidR="00197275">
        <w:t>For</w:t>
      </w:r>
    </w:p>
    <w:p w14:paraId="677AC269" w14:textId="47D34CDD" w:rsidR="00BC29C9" w:rsidRPr="00123BDD" w:rsidRDefault="00BC29C9" w:rsidP="00BC29C9">
      <w:pPr>
        <w:pStyle w:val="Body"/>
        <w:numPr>
          <w:ilvl w:val="0"/>
          <w:numId w:val="39"/>
        </w:numPr>
        <w:spacing w:after="120"/>
      </w:pPr>
      <w:r w:rsidRPr="00123BDD">
        <w:rPr>
          <w:b/>
          <w:bCs/>
        </w:rPr>
        <w:t>Rationale:</w:t>
      </w:r>
      <w:r w:rsidR="00F51A83" w:rsidRPr="00F51A83">
        <w:t xml:space="preserve"> </w:t>
      </w:r>
      <w:r w:rsidR="00AE6E05">
        <w:t>WCM</w:t>
      </w:r>
      <w:r w:rsidR="00AE6E05" w:rsidRPr="00AE6E05">
        <w:t xml:space="preserve"> support</w:t>
      </w:r>
      <w:r w:rsidR="00AE6E05">
        <w:t>s</w:t>
      </w:r>
      <w:r w:rsidR="00AE6E05" w:rsidRPr="00AE6E05">
        <w:t xml:space="preserve"> treating employees well and creating a rewarding culture. </w:t>
      </w:r>
      <w:r w:rsidR="00646534">
        <w:t>WCM believes that t</w:t>
      </w:r>
      <w:r w:rsidR="00AE6E05" w:rsidRPr="00AE6E05">
        <w:t xml:space="preserve">he </w:t>
      </w:r>
      <w:r w:rsidR="00A14D2A">
        <w:t xml:space="preserve">company’s </w:t>
      </w:r>
      <w:r w:rsidR="00AE6E05" w:rsidRPr="00AE6E05">
        <w:t>culture strategy alignment works for their business model</w:t>
      </w:r>
      <w:r w:rsidR="00A14D2A">
        <w:t>.</w:t>
      </w:r>
    </w:p>
    <w:p w14:paraId="6B8132F9" w14:textId="6577C2B8" w:rsidR="00BC29C9" w:rsidRPr="00123BDD" w:rsidRDefault="00BC29C9" w:rsidP="00BC29C9">
      <w:pPr>
        <w:pStyle w:val="Body"/>
        <w:numPr>
          <w:ilvl w:val="0"/>
          <w:numId w:val="39"/>
        </w:numPr>
        <w:spacing w:after="120"/>
      </w:pPr>
      <w:r w:rsidRPr="00123BDD">
        <w:rPr>
          <w:b/>
          <w:bCs/>
        </w:rPr>
        <w:t>Was the vote communicated to the company ahead of the vote:</w:t>
      </w:r>
      <w:r w:rsidRPr="00123BDD">
        <w:t xml:space="preserve"> </w:t>
      </w:r>
      <w:r w:rsidR="005948DF">
        <w:t>n/a – vote was with management.</w:t>
      </w:r>
    </w:p>
    <w:p w14:paraId="082E73F9" w14:textId="774EEF0B" w:rsidR="00BC29C9" w:rsidRPr="00EC27C6" w:rsidRDefault="00BC29C9" w:rsidP="00EC27C6">
      <w:pPr>
        <w:pStyle w:val="Body"/>
        <w:numPr>
          <w:ilvl w:val="0"/>
          <w:numId w:val="39"/>
        </w:numPr>
        <w:rPr>
          <w:i/>
        </w:rPr>
      </w:pPr>
      <w:r w:rsidRPr="00123BDD">
        <w:rPr>
          <w:b/>
          <w:bCs/>
        </w:rPr>
        <w:t>Outcome of the vote and next steps</w:t>
      </w:r>
      <w:r w:rsidRPr="00123BDD">
        <w:t xml:space="preserve">: </w:t>
      </w:r>
      <w:r w:rsidR="005948DF" w:rsidRPr="005948DF">
        <w:t xml:space="preserve"> </w:t>
      </w:r>
      <w:r w:rsidR="005948DF">
        <w:t>WCM</w:t>
      </w:r>
      <w:r w:rsidR="005948DF" w:rsidRPr="00123BDD">
        <w:t xml:space="preserve"> did not provide any commentary on next steps taken following outcome of the vote. </w:t>
      </w:r>
    </w:p>
    <w:p w14:paraId="7D9BA5F2" w14:textId="3C91D849" w:rsidR="00FE5084" w:rsidRPr="00EA0EA1" w:rsidRDefault="00A53587" w:rsidP="00572B8E">
      <w:pPr>
        <w:pStyle w:val="Body"/>
        <w:rPr>
          <w:b/>
          <w:bCs/>
          <w:color w:val="002F5F" w:themeColor="accent4"/>
        </w:rPr>
      </w:pPr>
      <w:r>
        <w:rPr>
          <w:b/>
          <w:bCs/>
          <w:color w:val="002F5F" w:themeColor="accent4"/>
        </w:rPr>
        <w:t>3</w:t>
      </w:r>
      <w:r w:rsidR="00FE5084" w:rsidRPr="00EA0EA1">
        <w:rPr>
          <w:b/>
          <w:bCs/>
          <w:color w:val="002F5F" w:themeColor="accent4"/>
        </w:rPr>
        <w:t xml:space="preserve">.4 </w:t>
      </w:r>
      <w:r w:rsidR="00050CA5" w:rsidRPr="00EA0EA1">
        <w:rPr>
          <w:b/>
          <w:bCs/>
          <w:color w:val="002F5F" w:themeColor="accent4"/>
        </w:rPr>
        <w:t xml:space="preserve">Votes </w:t>
      </w:r>
      <w:r w:rsidR="003F6B48" w:rsidRPr="00EA0EA1">
        <w:rPr>
          <w:b/>
          <w:bCs/>
          <w:color w:val="002F5F" w:themeColor="accent4"/>
        </w:rPr>
        <w:t>in relation to assets o</w:t>
      </w:r>
      <w:r w:rsidR="00FE5084" w:rsidRPr="00EA0EA1">
        <w:rPr>
          <w:b/>
          <w:bCs/>
          <w:color w:val="002F5F" w:themeColor="accent4"/>
        </w:rPr>
        <w:t xml:space="preserve">ther </w:t>
      </w:r>
      <w:r w:rsidR="003F6B48" w:rsidRPr="00EA0EA1">
        <w:rPr>
          <w:b/>
          <w:bCs/>
          <w:color w:val="002F5F" w:themeColor="accent4"/>
        </w:rPr>
        <w:t>than listed</w:t>
      </w:r>
      <w:r w:rsidR="00FE5084" w:rsidRPr="00EA0EA1">
        <w:rPr>
          <w:b/>
          <w:bCs/>
          <w:color w:val="002F5F" w:themeColor="accent4"/>
        </w:rPr>
        <w:t xml:space="preserve"> </w:t>
      </w:r>
      <w:r w:rsidR="00C46D72" w:rsidRPr="00EA0EA1">
        <w:rPr>
          <w:b/>
          <w:bCs/>
          <w:color w:val="002F5F" w:themeColor="accent4"/>
        </w:rPr>
        <w:t xml:space="preserve">equity </w:t>
      </w:r>
    </w:p>
    <w:p w14:paraId="03A2BB17" w14:textId="77777777" w:rsidR="003631FD" w:rsidRPr="00123BDD" w:rsidRDefault="003631FD" w:rsidP="00CB56AF">
      <w:pPr>
        <w:pStyle w:val="Body"/>
      </w:pPr>
      <w:r w:rsidRPr="00123BDD">
        <w:t>For the majority of the Scheme’s holdings in assets other than listed equity, SSGA believes that voting is rarely applicable, given that voting rights are primarily the privilege of equity holders. The following comments were provided by the Scheme’s asset managers which don’t hold listed equities, but invest in assets that had voting opportunities during the Scheme Year:</w:t>
      </w:r>
    </w:p>
    <w:p w14:paraId="2E39A0D8" w14:textId="77777777" w:rsidR="00D136ED" w:rsidRPr="00123BDD" w:rsidRDefault="00D136ED" w:rsidP="00D136ED">
      <w:pPr>
        <w:pStyle w:val="Body"/>
        <w:rPr>
          <w:b/>
          <w:bCs/>
          <w:color w:val="E93F6F" w:themeColor="accent3"/>
        </w:rPr>
      </w:pPr>
      <w:proofErr w:type="spellStart"/>
      <w:r w:rsidRPr="00123BDD">
        <w:rPr>
          <w:b/>
          <w:bCs/>
          <w:color w:val="E93F6F" w:themeColor="accent3"/>
        </w:rPr>
        <w:t>Arcmont</w:t>
      </w:r>
      <w:proofErr w:type="spellEnd"/>
      <w:r w:rsidRPr="00123BDD">
        <w:rPr>
          <w:b/>
          <w:bCs/>
          <w:color w:val="E93F6F" w:themeColor="accent3"/>
        </w:rPr>
        <w:t xml:space="preserve"> Senior Loan Fund I:</w:t>
      </w:r>
    </w:p>
    <w:p w14:paraId="73DC5250" w14:textId="77777777" w:rsidR="00D136ED" w:rsidRDefault="00D136ED" w:rsidP="00D136ED">
      <w:pPr>
        <w:pStyle w:val="Body"/>
      </w:pPr>
      <w:r w:rsidRPr="00E51C83">
        <w:t xml:space="preserve">In terms of voting rights, </w:t>
      </w:r>
      <w:proofErr w:type="spellStart"/>
      <w:r w:rsidRPr="00E51C83">
        <w:t>Arcmont</w:t>
      </w:r>
      <w:proofErr w:type="spellEnd"/>
      <w:r w:rsidRPr="00E51C83">
        <w:t xml:space="preserve"> may be able to vote in limited instances where investments take on an equity element and shareholder voting rights are granted. In such instances, the processes and procedures outlined in </w:t>
      </w:r>
      <w:proofErr w:type="spellStart"/>
      <w:r w:rsidRPr="00E51C83">
        <w:t>Arcmont’s</w:t>
      </w:r>
      <w:proofErr w:type="spellEnd"/>
      <w:r w:rsidRPr="00E51C83">
        <w:t xml:space="preserve"> internal Voting Policy will be followed. </w:t>
      </w:r>
    </w:p>
    <w:p w14:paraId="664EAAB7" w14:textId="77777777" w:rsidR="00D136ED" w:rsidRPr="00123BDD" w:rsidRDefault="00D136ED" w:rsidP="00D136ED">
      <w:pPr>
        <w:pStyle w:val="Body"/>
        <w:rPr>
          <w:color w:val="E93F6F" w:themeColor="accent3"/>
        </w:rPr>
      </w:pPr>
      <w:r w:rsidRPr="00123BDD">
        <w:rPr>
          <w:b/>
          <w:bCs/>
          <w:color w:val="E93F6F" w:themeColor="accent3"/>
        </w:rPr>
        <w:t>Vitruvian Investment Partnership IV:</w:t>
      </w:r>
    </w:p>
    <w:p w14:paraId="72F81ECC" w14:textId="5D722E23" w:rsidR="00D136ED" w:rsidRDefault="00D136ED" w:rsidP="00D136ED">
      <w:pPr>
        <w:pStyle w:val="Body"/>
      </w:pPr>
      <w:r w:rsidRPr="00323F12">
        <w:t xml:space="preserve">Annually votes are cast in line with </w:t>
      </w:r>
      <w:proofErr w:type="spellStart"/>
      <w:r w:rsidR="00876FCD" w:rsidRPr="00876FCD">
        <w:t>Vitruvian</w:t>
      </w:r>
      <w:r w:rsidR="00876FCD">
        <w:t>’s</w:t>
      </w:r>
      <w:proofErr w:type="spellEnd"/>
      <w:r w:rsidR="00876FCD">
        <w:t xml:space="preserve"> </w:t>
      </w:r>
      <w:r w:rsidRPr="00323F12">
        <w:t xml:space="preserve">voting policy and instructed by </w:t>
      </w:r>
      <w:r w:rsidR="00C05381">
        <w:t>its</w:t>
      </w:r>
      <w:r w:rsidR="00C05381" w:rsidRPr="00323F12">
        <w:t xml:space="preserve"> </w:t>
      </w:r>
      <w:r w:rsidRPr="00323F12">
        <w:t xml:space="preserve">operations team in Luxembourg (these are executed via </w:t>
      </w:r>
      <w:proofErr w:type="spellStart"/>
      <w:r w:rsidRPr="00323F12">
        <w:t>ProxyEdge</w:t>
      </w:r>
      <w:proofErr w:type="spellEnd"/>
      <w:r w:rsidRPr="00323F12">
        <w:t xml:space="preserve"> a solution provided by Broadridge). Any key ESG related votes are reviewed by the ESG team and debated where necessary prior to instruction. </w:t>
      </w:r>
    </w:p>
    <w:p w14:paraId="33C25CAA" w14:textId="7C074122" w:rsidR="00D136ED" w:rsidRDefault="00C05381" w:rsidP="00D136ED">
      <w:pPr>
        <w:pStyle w:val="Body"/>
      </w:pPr>
      <w:proofErr w:type="spellStart"/>
      <w:r w:rsidRPr="00876FCD">
        <w:t>Vitruvian</w:t>
      </w:r>
      <w:r>
        <w:t>’s</w:t>
      </w:r>
      <w:proofErr w:type="spellEnd"/>
      <w:r>
        <w:t xml:space="preserve"> </w:t>
      </w:r>
      <w:r w:rsidR="00D136ED" w:rsidRPr="00323F12">
        <w:t xml:space="preserve">default position is to vote in line with management, but where </w:t>
      </w:r>
      <w:r>
        <w:t>it</w:t>
      </w:r>
      <w:r w:rsidR="00D136ED" w:rsidRPr="00323F12">
        <w:t xml:space="preserve"> consider</w:t>
      </w:r>
      <w:r>
        <w:t>s</w:t>
      </w:r>
      <w:r w:rsidR="00D136ED" w:rsidRPr="00323F12">
        <w:t xml:space="preserve"> voting against or abstaining against management, or supporting shareholder resolutions opposed by management, </w:t>
      </w:r>
      <w:proofErr w:type="gramStart"/>
      <w:r>
        <w:t>its</w:t>
      </w:r>
      <w:proofErr w:type="gramEnd"/>
      <w:r w:rsidRPr="00323F12">
        <w:t xml:space="preserve"> </w:t>
      </w:r>
      <w:r w:rsidR="00D136ED" w:rsidRPr="00323F12">
        <w:t xml:space="preserve">will carry out specific diligence including contacting the company before the AGM takes place to ensure </w:t>
      </w:r>
      <w:r>
        <w:t>it</w:t>
      </w:r>
      <w:r w:rsidRPr="00323F12">
        <w:t xml:space="preserve"> </w:t>
      </w:r>
      <w:r w:rsidR="00D136ED" w:rsidRPr="00323F12">
        <w:t xml:space="preserve">have full understanding of the matter at stake. In cases where </w:t>
      </w:r>
      <w:r w:rsidRPr="00C05381">
        <w:t>Vitruvian</w:t>
      </w:r>
      <w:r>
        <w:t xml:space="preserve"> </w:t>
      </w:r>
      <w:r w:rsidR="00D136ED" w:rsidRPr="00323F12">
        <w:t xml:space="preserve">proceed to vote against management </w:t>
      </w:r>
      <w:r>
        <w:t>it</w:t>
      </w:r>
      <w:r w:rsidRPr="00323F12">
        <w:t xml:space="preserve"> </w:t>
      </w:r>
      <w:r w:rsidR="00D136ED" w:rsidRPr="00323F12">
        <w:t xml:space="preserve">will document </w:t>
      </w:r>
      <w:r>
        <w:t>its</w:t>
      </w:r>
      <w:r w:rsidRPr="00323F12">
        <w:t xml:space="preserve"> </w:t>
      </w:r>
      <w:r w:rsidR="00D136ED" w:rsidRPr="00323F12">
        <w:t>rationale and make this available to the investee company where requested.</w:t>
      </w:r>
    </w:p>
    <w:p w14:paraId="4269B69B" w14:textId="0FA69294" w:rsidR="00D136ED" w:rsidRDefault="00F600B7" w:rsidP="00D136ED">
      <w:pPr>
        <w:pStyle w:val="Body"/>
      </w:pPr>
      <w:r>
        <w:t xml:space="preserve">The </w:t>
      </w:r>
      <w:r w:rsidR="00D136ED" w:rsidRPr="00323F12">
        <w:t xml:space="preserve">type of companies </w:t>
      </w:r>
      <w:r w:rsidRPr="00F600B7">
        <w:t>Vitruvian</w:t>
      </w:r>
      <w:r>
        <w:t xml:space="preserve"> </w:t>
      </w:r>
      <w:r w:rsidR="00D136ED" w:rsidRPr="00323F12">
        <w:t>are generally invest</w:t>
      </w:r>
      <w:r>
        <w:t>s</w:t>
      </w:r>
      <w:r w:rsidR="00D136ED" w:rsidRPr="00323F12">
        <w:t xml:space="preserve"> in (SMEs) means there may be limited public information available. </w:t>
      </w:r>
      <w:r w:rsidRPr="00876FCD">
        <w:t>Vitruvian</w:t>
      </w:r>
      <w:r>
        <w:t xml:space="preserve"> </w:t>
      </w:r>
      <w:r w:rsidR="00D136ED" w:rsidRPr="00323F12">
        <w:t xml:space="preserve">may therefore reasonably expect less material E and S voting activity or resolutions to be brought to AGM, but governance remains a key focus for all companies irrespective of size. </w:t>
      </w:r>
    </w:p>
    <w:p w14:paraId="0528C7A9" w14:textId="77777777" w:rsidR="0024497D" w:rsidRPr="00123BDD" w:rsidRDefault="0024497D" w:rsidP="0024497D">
      <w:pPr>
        <w:pStyle w:val="Body"/>
        <w:rPr>
          <w:b/>
          <w:bCs/>
          <w:color w:val="E93F6F" w:themeColor="accent3"/>
        </w:rPr>
      </w:pPr>
      <w:proofErr w:type="spellStart"/>
      <w:r w:rsidRPr="00123BDD">
        <w:rPr>
          <w:b/>
          <w:bCs/>
          <w:color w:val="E93F6F" w:themeColor="accent3"/>
        </w:rPr>
        <w:t>Cortec</w:t>
      </w:r>
      <w:proofErr w:type="spellEnd"/>
      <w:r w:rsidRPr="00123BDD">
        <w:rPr>
          <w:b/>
          <w:bCs/>
          <w:color w:val="E93F6F" w:themeColor="accent3"/>
        </w:rPr>
        <w:t xml:space="preserve"> Group Fund VII:</w:t>
      </w:r>
    </w:p>
    <w:p w14:paraId="08805565" w14:textId="77777777" w:rsidR="0024497D" w:rsidRDefault="0024497D" w:rsidP="0024497D">
      <w:pPr>
        <w:pStyle w:val="Body"/>
        <w:rPr>
          <w:color w:val="auto"/>
        </w:rPr>
      </w:pPr>
      <w:proofErr w:type="spellStart"/>
      <w:r w:rsidRPr="00A022CB">
        <w:rPr>
          <w:color w:val="auto"/>
        </w:rPr>
        <w:t>Cortec</w:t>
      </w:r>
      <w:proofErr w:type="spellEnd"/>
      <w:r w:rsidRPr="00A022CB">
        <w:rPr>
          <w:color w:val="auto"/>
        </w:rPr>
        <w:t xml:space="preserve"> does not acquire securities that require it to vote proxies on behalf of its account clients. </w:t>
      </w:r>
      <w:proofErr w:type="gramStart"/>
      <w:r w:rsidRPr="00A022CB">
        <w:rPr>
          <w:color w:val="auto"/>
        </w:rPr>
        <w:t>In the event that</w:t>
      </w:r>
      <w:proofErr w:type="gramEnd"/>
      <w:r w:rsidRPr="00A022CB">
        <w:rPr>
          <w:color w:val="auto"/>
        </w:rPr>
        <w:t xml:space="preserve"> </w:t>
      </w:r>
      <w:proofErr w:type="spellStart"/>
      <w:r w:rsidRPr="00A022CB">
        <w:rPr>
          <w:color w:val="auto"/>
        </w:rPr>
        <w:t>Cortec</w:t>
      </w:r>
      <w:proofErr w:type="spellEnd"/>
      <w:r w:rsidRPr="00A022CB">
        <w:rPr>
          <w:color w:val="auto"/>
        </w:rPr>
        <w:t xml:space="preserve"> does ever hold securities that require it to vote proxies on behalf of its clients, the Chief Compliance Officer shall be notified. In such case, </w:t>
      </w:r>
      <w:proofErr w:type="spellStart"/>
      <w:r w:rsidRPr="00A022CB">
        <w:rPr>
          <w:color w:val="auto"/>
        </w:rPr>
        <w:t>Cortec</w:t>
      </w:r>
      <w:proofErr w:type="spellEnd"/>
      <w:r w:rsidRPr="00A022CB">
        <w:rPr>
          <w:color w:val="auto"/>
        </w:rPr>
        <w:t xml:space="preserve"> will vote proxies in a manner that serves the best interests of the Client </w:t>
      </w:r>
      <w:r w:rsidRPr="00A022CB">
        <w:rPr>
          <w:color w:val="auto"/>
        </w:rPr>
        <w:lastRenderedPageBreak/>
        <w:t xml:space="preserve">Funds without regard to the interests of </w:t>
      </w:r>
      <w:proofErr w:type="spellStart"/>
      <w:r w:rsidRPr="00A022CB">
        <w:rPr>
          <w:color w:val="auto"/>
        </w:rPr>
        <w:t>Cortec</w:t>
      </w:r>
      <w:proofErr w:type="spellEnd"/>
      <w:r w:rsidRPr="00A022CB">
        <w:rPr>
          <w:color w:val="auto"/>
        </w:rPr>
        <w:t xml:space="preserve"> or related parties, and in accordance with </w:t>
      </w:r>
      <w:proofErr w:type="spellStart"/>
      <w:r w:rsidRPr="00A022CB">
        <w:rPr>
          <w:color w:val="auto"/>
        </w:rPr>
        <w:t>Cortec’s</w:t>
      </w:r>
      <w:proofErr w:type="spellEnd"/>
      <w:r w:rsidRPr="00A022CB">
        <w:rPr>
          <w:color w:val="auto"/>
        </w:rPr>
        <w:t xml:space="preserve"> fiduciary duty. The Chief Compliance Officer may consult with investment professionals directly involved with the deal or company </w:t>
      </w:r>
      <w:proofErr w:type="gramStart"/>
      <w:r w:rsidRPr="00A022CB">
        <w:rPr>
          <w:color w:val="auto"/>
        </w:rPr>
        <w:t>in order to</w:t>
      </w:r>
      <w:proofErr w:type="gramEnd"/>
      <w:r w:rsidRPr="00A022CB">
        <w:rPr>
          <w:color w:val="auto"/>
        </w:rPr>
        <w:t xml:space="preserve"> determine </w:t>
      </w:r>
      <w:proofErr w:type="spellStart"/>
      <w:r w:rsidRPr="00A022CB">
        <w:rPr>
          <w:color w:val="auto"/>
        </w:rPr>
        <w:t>Cortec’s</w:t>
      </w:r>
      <w:proofErr w:type="spellEnd"/>
      <w:r w:rsidRPr="00A022CB">
        <w:rPr>
          <w:color w:val="auto"/>
        </w:rPr>
        <w:t xml:space="preserve"> decision on the matter. </w:t>
      </w:r>
    </w:p>
    <w:p w14:paraId="4AEBE4F7" w14:textId="77777777" w:rsidR="0099756D" w:rsidRPr="00123BDD" w:rsidRDefault="0099756D" w:rsidP="0099756D">
      <w:pPr>
        <w:pStyle w:val="Body"/>
        <w:rPr>
          <w:color w:val="auto"/>
        </w:rPr>
      </w:pPr>
      <w:r w:rsidRPr="00123BDD">
        <w:rPr>
          <w:b/>
          <w:bCs/>
          <w:color w:val="E93F6F" w:themeColor="accent3"/>
        </w:rPr>
        <w:t>Warburg Pincus Global Growth Fund:</w:t>
      </w:r>
    </w:p>
    <w:p w14:paraId="56BBAF78" w14:textId="77777777" w:rsidR="0099756D" w:rsidRPr="00123BDD" w:rsidRDefault="0099756D" w:rsidP="0099756D">
      <w:pPr>
        <w:pStyle w:val="Body"/>
        <w:rPr>
          <w:color w:val="auto"/>
        </w:rPr>
      </w:pPr>
      <w:r w:rsidRPr="00123BDD">
        <w:rPr>
          <w:color w:val="auto"/>
        </w:rPr>
        <w:t xml:space="preserve">Warburg has discretionary authority to vote the securities held by its Funds pursuant to its Funds’ governing documents. Warburg’s policy is to vote securities or proxies of portfolio companies in the best interests of its Funds, consistent with its investment advisory mandate to maximize its Funds’ long-term investment returns. The Firm may determine not to </w:t>
      </w:r>
      <w:proofErr w:type="gramStart"/>
      <w:r w:rsidRPr="00123BDD">
        <w:rPr>
          <w:color w:val="auto"/>
        </w:rPr>
        <w:t>take action</w:t>
      </w:r>
      <w:proofErr w:type="gramEnd"/>
      <w:r w:rsidRPr="00123BDD">
        <w:rPr>
          <w:color w:val="auto"/>
        </w:rPr>
        <w:t xml:space="preserve"> on proxies relating to short-term cash management. </w:t>
      </w:r>
    </w:p>
    <w:p w14:paraId="79478354" w14:textId="77777777" w:rsidR="0099756D" w:rsidRPr="00123BDD" w:rsidRDefault="0099756D" w:rsidP="0099756D">
      <w:pPr>
        <w:pStyle w:val="Body"/>
        <w:rPr>
          <w:color w:val="auto"/>
        </w:rPr>
      </w:pPr>
      <w:r w:rsidRPr="00123BDD">
        <w:rPr>
          <w:color w:val="auto"/>
        </w:rPr>
        <w:t xml:space="preserve">It is common, that the investments Warburg selects for its Funds will include representation on a portfolio company’s board of directors </w:t>
      </w:r>
      <w:proofErr w:type="gramStart"/>
      <w:r w:rsidRPr="00123BDD">
        <w:rPr>
          <w:color w:val="auto"/>
        </w:rPr>
        <w:t>in order to</w:t>
      </w:r>
      <w:proofErr w:type="gramEnd"/>
      <w:r w:rsidRPr="00123BDD">
        <w:rPr>
          <w:color w:val="auto"/>
        </w:rPr>
        <w:t xml:space="preserve"> enhance the Firm’s oversight and ability to influence the strategic direction and governance of the portfolio company. Given its participation in board matters, Warburg’s Funds’ best interests are most often served by voting in support of the recommendations of the portfolio company’s board of directors. </w:t>
      </w:r>
    </w:p>
    <w:p w14:paraId="47862D91" w14:textId="77777777" w:rsidR="0099756D" w:rsidRPr="00123BDD" w:rsidRDefault="0099756D" w:rsidP="0099756D">
      <w:pPr>
        <w:pStyle w:val="Body"/>
        <w:rPr>
          <w:color w:val="auto"/>
        </w:rPr>
      </w:pPr>
      <w:r w:rsidRPr="00123BDD">
        <w:rPr>
          <w:color w:val="auto"/>
        </w:rPr>
        <w:t>If a conflict of interest should arise with respect to a portfolio company proxy vote, the Firm will independently review and evaluate the portfolio company proxy proposal and the circumstances surrounding the conflict to determine the vote that would be in the best interest of the Funds. Certain conflicts of interest may be presented to the Advisory Committee of the applicable Fund, which consists of representatives of certain investors in the Fund. </w:t>
      </w:r>
    </w:p>
    <w:p w14:paraId="018EFDDA" w14:textId="58131655" w:rsidR="0099756D" w:rsidRPr="00466B0F" w:rsidRDefault="0099756D" w:rsidP="0099756D">
      <w:pPr>
        <w:pStyle w:val="Body"/>
        <w:rPr>
          <w:color w:val="auto"/>
        </w:rPr>
      </w:pPr>
      <w:r w:rsidRPr="00123BDD">
        <w:rPr>
          <w:color w:val="auto"/>
        </w:rPr>
        <w:t>Additionally, Warburg believes that the Firm’s interests and those of its Funds are aligned through its own investment in the Funds, and it does not anticipate a situation where its interests would conflict with maximi</w:t>
      </w:r>
      <w:r w:rsidR="00AD1EC5">
        <w:rPr>
          <w:color w:val="auto"/>
        </w:rPr>
        <w:t>s</w:t>
      </w:r>
      <w:r w:rsidRPr="00123BDD">
        <w:rPr>
          <w:color w:val="auto"/>
        </w:rPr>
        <w:t>ing long-term investment returns for the Funds.</w:t>
      </w:r>
      <w:r w:rsidRPr="00466B0F">
        <w:rPr>
          <w:color w:val="auto"/>
        </w:rPr>
        <w:t> </w:t>
      </w:r>
    </w:p>
    <w:p w14:paraId="6EB9C6D9" w14:textId="28B39903" w:rsidR="00572B8E" w:rsidRPr="00CB56AF" w:rsidRDefault="00572B8E" w:rsidP="00CB56AF">
      <w:pPr>
        <w:pStyle w:val="Body"/>
        <w:rPr>
          <w:highlight w:val="red"/>
        </w:rPr>
      </w:pPr>
    </w:p>
    <w:sectPr w:rsidR="00572B8E" w:rsidRPr="00CB56AF" w:rsidSect="00EA0EA1">
      <w:headerReference w:type="default" r:id="rId13"/>
      <w:footerReference w:type="default" r:id="rId14"/>
      <w:headerReference w:type="first" r:id="rId15"/>
      <w:footerReference w:type="first" r:id="rId16"/>
      <w:pgSz w:w="11906" w:h="16838" w:code="9"/>
      <w:pgMar w:top="851" w:right="851" w:bottom="851" w:left="851" w:header="431" w:footer="1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E752" w14:textId="77777777" w:rsidR="006C700B" w:rsidRDefault="006C700B" w:rsidP="00D54A1A">
      <w:r>
        <w:separator/>
      </w:r>
    </w:p>
    <w:p w14:paraId="233F00B2" w14:textId="77777777" w:rsidR="006C700B" w:rsidRDefault="006C700B" w:rsidP="00D54A1A"/>
  </w:endnote>
  <w:endnote w:type="continuationSeparator" w:id="0">
    <w:p w14:paraId="0019F6A0" w14:textId="77777777" w:rsidR="006C700B" w:rsidRDefault="006C700B" w:rsidP="00D54A1A">
      <w:r>
        <w:continuationSeparator/>
      </w:r>
    </w:p>
    <w:p w14:paraId="7F170707" w14:textId="77777777" w:rsidR="006C700B" w:rsidRDefault="006C700B" w:rsidP="00D54A1A"/>
  </w:endnote>
  <w:endnote w:type="continuationNotice" w:id="1">
    <w:p w14:paraId="059C2D2C" w14:textId="77777777" w:rsidR="006C700B" w:rsidRDefault="006C7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153465"/>
      <w:docPartObj>
        <w:docPartGallery w:val="Page Numbers (Bottom of Page)"/>
        <w:docPartUnique/>
      </w:docPartObj>
    </w:sdtPr>
    <w:sdtEndPr>
      <w:rPr>
        <w:noProof/>
      </w:rPr>
    </w:sdtEndPr>
    <w:sdtContent>
      <w:p w14:paraId="31C3075B" w14:textId="260F5BEE" w:rsidR="00EA0EA1" w:rsidRDefault="00EA0E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1E381" w14:textId="77777777" w:rsidR="00F0608C" w:rsidRDefault="00F06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E1EF" w14:textId="28684678" w:rsidR="00EA0EA1" w:rsidRDefault="00EA0EA1">
    <w:pPr>
      <w:pStyle w:val="Footer"/>
      <w:jc w:val="right"/>
    </w:pPr>
    <w:r>
      <w:fldChar w:fldCharType="begin"/>
    </w:r>
    <w:r>
      <w:instrText xml:space="preserve"> PAGE   \* MERGEFORMAT </w:instrText>
    </w:r>
    <w:r>
      <w:fldChar w:fldCharType="separate"/>
    </w:r>
    <w:r>
      <w:rPr>
        <w:noProof/>
      </w:rPr>
      <w:t>2</w:t>
    </w:r>
    <w:r>
      <w:rPr>
        <w:noProof/>
      </w:rPr>
      <w:fldChar w:fldCharType="end"/>
    </w:r>
  </w:p>
  <w:p w14:paraId="0A63AD2A" w14:textId="77777777" w:rsidR="00F0608C" w:rsidRDefault="00F06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275B" w14:textId="77777777" w:rsidR="006C700B" w:rsidRDefault="006C700B" w:rsidP="00A81B17">
      <w:pPr>
        <w:spacing w:after="0"/>
      </w:pPr>
      <w:r>
        <w:separator/>
      </w:r>
    </w:p>
  </w:footnote>
  <w:footnote w:type="continuationSeparator" w:id="0">
    <w:p w14:paraId="73151343" w14:textId="77777777" w:rsidR="006C700B" w:rsidRDefault="006C700B" w:rsidP="00D54A1A">
      <w:r>
        <w:continuationSeparator/>
      </w:r>
    </w:p>
    <w:p w14:paraId="0A90E8DB" w14:textId="77777777" w:rsidR="006C700B" w:rsidRDefault="006C700B" w:rsidP="00D54A1A"/>
  </w:footnote>
  <w:footnote w:type="continuationNotice" w:id="1">
    <w:p w14:paraId="19C5B691" w14:textId="77777777" w:rsidR="006C700B" w:rsidRDefault="006C7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715A" w14:textId="77777777" w:rsidR="00F0608C" w:rsidRDefault="00F0608C" w:rsidP="00026C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2333" w14:textId="77777777" w:rsidR="00F0608C" w:rsidRDefault="00F06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503AF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BD7BC2"/>
    <w:multiLevelType w:val="multilevel"/>
    <w:tmpl w:val="19F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D2C39"/>
    <w:multiLevelType w:val="multilevel"/>
    <w:tmpl w:val="631C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028DD"/>
    <w:multiLevelType w:val="hybridMultilevel"/>
    <w:tmpl w:val="E326D52E"/>
    <w:lvl w:ilvl="0" w:tplc="BFC8E758">
      <w:start w:val="1"/>
      <w:numFmt w:val="decimal"/>
      <w:lvlText w:val="%1)"/>
      <w:lvlJc w:val="left"/>
      <w:pPr>
        <w:ind w:left="1020" w:hanging="360"/>
      </w:pPr>
    </w:lvl>
    <w:lvl w:ilvl="1" w:tplc="C64E39D8">
      <w:start w:val="1"/>
      <w:numFmt w:val="decimal"/>
      <w:lvlText w:val="%2)"/>
      <w:lvlJc w:val="left"/>
      <w:pPr>
        <w:ind w:left="1020" w:hanging="360"/>
      </w:pPr>
    </w:lvl>
    <w:lvl w:ilvl="2" w:tplc="86A61676">
      <w:start w:val="1"/>
      <w:numFmt w:val="decimal"/>
      <w:lvlText w:val="%3)"/>
      <w:lvlJc w:val="left"/>
      <w:pPr>
        <w:ind w:left="1020" w:hanging="360"/>
      </w:pPr>
    </w:lvl>
    <w:lvl w:ilvl="3" w:tplc="21263828">
      <w:start w:val="1"/>
      <w:numFmt w:val="decimal"/>
      <w:lvlText w:val="%4)"/>
      <w:lvlJc w:val="left"/>
      <w:pPr>
        <w:ind w:left="1020" w:hanging="360"/>
      </w:pPr>
    </w:lvl>
    <w:lvl w:ilvl="4" w:tplc="E642FF92">
      <w:start w:val="1"/>
      <w:numFmt w:val="decimal"/>
      <w:lvlText w:val="%5)"/>
      <w:lvlJc w:val="left"/>
      <w:pPr>
        <w:ind w:left="1020" w:hanging="360"/>
      </w:pPr>
    </w:lvl>
    <w:lvl w:ilvl="5" w:tplc="25A69C5C">
      <w:start w:val="1"/>
      <w:numFmt w:val="decimal"/>
      <w:lvlText w:val="%6)"/>
      <w:lvlJc w:val="left"/>
      <w:pPr>
        <w:ind w:left="1020" w:hanging="360"/>
      </w:pPr>
    </w:lvl>
    <w:lvl w:ilvl="6" w:tplc="E2C4359A">
      <w:start w:val="1"/>
      <w:numFmt w:val="decimal"/>
      <w:lvlText w:val="%7)"/>
      <w:lvlJc w:val="left"/>
      <w:pPr>
        <w:ind w:left="1020" w:hanging="360"/>
      </w:pPr>
    </w:lvl>
    <w:lvl w:ilvl="7" w:tplc="E766B134">
      <w:start w:val="1"/>
      <w:numFmt w:val="decimal"/>
      <w:lvlText w:val="%8)"/>
      <w:lvlJc w:val="left"/>
      <w:pPr>
        <w:ind w:left="1020" w:hanging="360"/>
      </w:pPr>
    </w:lvl>
    <w:lvl w:ilvl="8" w:tplc="895C33D4">
      <w:start w:val="1"/>
      <w:numFmt w:val="decimal"/>
      <w:lvlText w:val="%9)"/>
      <w:lvlJc w:val="left"/>
      <w:pPr>
        <w:ind w:left="1020" w:hanging="360"/>
      </w:pPr>
    </w:lvl>
  </w:abstractNum>
  <w:abstractNum w:abstractNumId="4" w15:restartNumberingAfterBreak="0">
    <w:nsid w:val="0E0051CE"/>
    <w:multiLevelType w:val="hybridMultilevel"/>
    <w:tmpl w:val="A6D8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36C58"/>
    <w:multiLevelType w:val="hybridMultilevel"/>
    <w:tmpl w:val="5734BB74"/>
    <w:lvl w:ilvl="0" w:tplc="CF3852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90EB7"/>
    <w:multiLevelType w:val="multilevel"/>
    <w:tmpl w:val="7712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E7757"/>
    <w:multiLevelType w:val="hybridMultilevel"/>
    <w:tmpl w:val="314A4B58"/>
    <w:lvl w:ilvl="0" w:tplc="08090001">
      <w:start w:val="1"/>
      <w:numFmt w:val="bullet"/>
      <w:lvlText w:val=""/>
      <w:lvlJc w:val="left"/>
      <w:pPr>
        <w:tabs>
          <w:tab w:val="num" w:pos="360"/>
        </w:tabs>
        <w:ind w:left="360" w:hanging="360"/>
      </w:pPr>
      <w:rPr>
        <w:rFonts w:ascii="Symbol" w:hAnsi="Symbol" w:hint="default"/>
      </w:rPr>
    </w:lvl>
    <w:lvl w:ilvl="1" w:tplc="04BABF30" w:tentative="1">
      <w:start w:val="1"/>
      <w:numFmt w:val="bullet"/>
      <w:lvlText w:val="•"/>
      <w:lvlJc w:val="left"/>
      <w:pPr>
        <w:tabs>
          <w:tab w:val="num" w:pos="1080"/>
        </w:tabs>
        <w:ind w:left="1080" w:hanging="360"/>
      </w:pPr>
      <w:rPr>
        <w:rFonts w:ascii="Arial" w:hAnsi="Arial" w:hint="default"/>
      </w:rPr>
    </w:lvl>
    <w:lvl w:ilvl="2" w:tplc="2910AA9C" w:tentative="1">
      <w:start w:val="1"/>
      <w:numFmt w:val="bullet"/>
      <w:lvlText w:val="•"/>
      <w:lvlJc w:val="left"/>
      <w:pPr>
        <w:tabs>
          <w:tab w:val="num" w:pos="1800"/>
        </w:tabs>
        <w:ind w:left="1800" w:hanging="360"/>
      </w:pPr>
      <w:rPr>
        <w:rFonts w:ascii="Arial" w:hAnsi="Arial" w:hint="default"/>
      </w:rPr>
    </w:lvl>
    <w:lvl w:ilvl="3" w:tplc="B4A0005C" w:tentative="1">
      <w:start w:val="1"/>
      <w:numFmt w:val="bullet"/>
      <w:lvlText w:val="•"/>
      <w:lvlJc w:val="left"/>
      <w:pPr>
        <w:tabs>
          <w:tab w:val="num" w:pos="2520"/>
        </w:tabs>
        <w:ind w:left="2520" w:hanging="360"/>
      </w:pPr>
      <w:rPr>
        <w:rFonts w:ascii="Arial" w:hAnsi="Arial" w:hint="default"/>
      </w:rPr>
    </w:lvl>
    <w:lvl w:ilvl="4" w:tplc="3B3CF106" w:tentative="1">
      <w:start w:val="1"/>
      <w:numFmt w:val="bullet"/>
      <w:lvlText w:val="•"/>
      <w:lvlJc w:val="left"/>
      <w:pPr>
        <w:tabs>
          <w:tab w:val="num" w:pos="3240"/>
        </w:tabs>
        <w:ind w:left="3240" w:hanging="360"/>
      </w:pPr>
      <w:rPr>
        <w:rFonts w:ascii="Arial" w:hAnsi="Arial" w:hint="default"/>
      </w:rPr>
    </w:lvl>
    <w:lvl w:ilvl="5" w:tplc="F2040C62" w:tentative="1">
      <w:start w:val="1"/>
      <w:numFmt w:val="bullet"/>
      <w:lvlText w:val="•"/>
      <w:lvlJc w:val="left"/>
      <w:pPr>
        <w:tabs>
          <w:tab w:val="num" w:pos="3960"/>
        </w:tabs>
        <w:ind w:left="3960" w:hanging="360"/>
      </w:pPr>
      <w:rPr>
        <w:rFonts w:ascii="Arial" w:hAnsi="Arial" w:hint="default"/>
      </w:rPr>
    </w:lvl>
    <w:lvl w:ilvl="6" w:tplc="5D3AD5E2" w:tentative="1">
      <w:start w:val="1"/>
      <w:numFmt w:val="bullet"/>
      <w:lvlText w:val="•"/>
      <w:lvlJc w:val="left"/>
      <w:pPr>
        <w:tabs>
          <w:tab w:val="num" w:pos="4680"/>
        </w:tabs>
        <w:ind w:left="4680" w:hanging="360"/>
      </w:pPr>
      <w:rPr>
        <w:rFonts w:ascii="Arial" w:hAnsi="Arial" w:hint="default"/>
      </w:rPr>
    </w:lvl>
    <w:lvl w:ilvl="7" w:tplc="C848F42A" w:tentative="1">
      <w:start w:val="1"/>
      <w:numFmt w:val="bullet"/>
      <w:lvlText w:val="•"/>
      <w:lvlJc w:val="left"/>
      <w:pPr>
        <w:tabs>
          <w:tab w:val="num" w:pos="5400"/>
        </w:tabs>
        <w:ind w:left="5400" w:hanging="360"/>
      </w:pPr>
      <w:rPr>
        <w:rFonts w:ascii="Arial" w:hAnsi="Arial" w:hint="default"/>
      </w:rPr>
    </w:lvl>
    <w:lvl w:ilvl="8" w:tplc="9266BA3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EC931BA"/>
    <w:multiLevelType w:val="hybridMultilevel"/>
    <w:tmpl w:val="F4EEEF1C"/>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2E66CB"/>
    <w:multiLevelType w:val="hybridMultilevel"/>
    <w:tmpl w:val="A2D06FD6"/>
    <w:lvl w:ilvl="0" w:tplc="CF38528C">
      <w:start w:val="1"/>
      <w:numFmt w:val="bullet"/>
      <w:lvlText w:val="•"/>
      <w:lvlJc w:val="left"/>
      <w:pPr>
        <w:tabs>
          <w:tab w:val="num" w:pos="360"/>
        </w:tabs>
        <w:ind w:left="360" w:hanging="360"/>
      </w:pPr>
      <w:rPr>
        <w:rFonts w:ascii="Arial" w:hAnsi="Arial" w:hint="default"/>
      </w:rPr>
    </w:lvl>
    <w:lvl w:ilvl="1" w:tplc="04BABF30" w:tentative="1">
      <w:start w:val="1"/>
      <w:numFmt w:val="bullet"/>
      <w:lvlText w:val="•"/>
      <w:lvlJc w:val="left"/>
      <w:pPr>
        <w:tabs>
          <w:tab w:val="num" w:pos="1080"/>
        </w:tabs>
        <w:ind w:left="1080" w:hanging="360"/>
      </w:pPr>
      <w:rPr>
        <w:rFonts w:ascii="Arial" w:hAnsi="Arial" w:hint="default"/>
      </w:rPr>
    </w:lvl>
    <w:lvl w:ilvl="2" w:tplc="2910AA9C" w:tentative="1">
      <w:start w:val="1"/>
      <w:numFmt w:val="bullet"/>
      <w:lvlText w:val="•"/>
      <w:lvlJc w:val="left"/>
      <w:pPr>
        <w:tabs>
          <w:tab w:val="num" w:pos="1800"/>
        </w:tabs>
        <w:ind w:left="1800" w:hanging="360"/>
      </w:pPr>
      <w:rPr>
        <w:rFonts w:ascii="Arial" w:hAnsi="Arial" w:hint="default"/>
      </w:rPr>
    </w:lvl>
    <w:lvl w:ilvl="3" w:tplc="B4A0005C" w:tentative="1">
      <w:start w:val="1"/>
      <w:numFmt w:val="bullet"/>
      <w:lvlText w:val="•"/>
      <w:lvlJc w:val="left"/>
      <w:pPr>
        <w:tabs>
          <w:tab w:val="num" w:pos="2520"/>
        </w:tabs>
        <w:ind w:left="2520" w:hanging="360"/>
      </w:pPr>
      <w:rPr>
        <w:rFonts w:ascii="Arial" w:hAnsi="Arial" w:hint="default"/>
      </w:rPr>
    </w:lvl>
    <w:lvl w:ilvl="4" w:tplc="3B3CF106" w:tentative="1">
      <w:start w:val="1"/>
      <w:numFmt w:val="bullet"/>
      <w:lvlText w:val="•"/>
      <w:lvlJc w:val="left"/>
      <w:pPr>
        <w:tabs>
          <w:tab w:val="num" w:pos="3240"/>
        </w:tabs>
        <w:ind w:left="3240" w:hanging="360"/>
      </w:pPr>
      <w:rPr>
        <w:rFonts w:ascii="Arial" w:hAnsi="Arial" w:hint="default"/>
      </w:rPr>
    </w:lvl>
    <w:lvl w:ilvl="5" w:tplc="F2040C62" w:tentative="1">
      <w:start w:val="1"/>
      <w:numFmt w:val="bullet"/>
      <w:lvlText w:val="•"/>
      <w:lvlJc w:val="left"/>
      <w:pPr>
        <w:tabs>
          <w:tab w:val="num" w:pos="3960"/>
        </w:tabs>
        <w:ind w:left="3960" w:hanging="360"/>
      </w:pPr>
      <w:rPr>
        <w:rFonts w:ascii="Arial" w:hAnsi="Arial" w:hint="default"/>
      </w:rPr>
    </w:lvl>
    <w:lvl w:ilvl="6" w:tplc="5D3AD5E2" w:tentative="1">
      <w:start w:val="1"/>
      <w:numFmt w:val="bullet"/>
      <w:lvlText w:val="•"/>
      <w:lvlJc w:val="left"/>
      <w:pPr>
        <w:tabs>
          <w:tab w:val="num" w:pos="4680"/>
        </w:tabs>
        <w:ind w:left="4680" w:hanging="360"/>
      </w:pPr>
      <w:rPr>
        <w:rFonts w:ascii="Arial" w:hAnsi="Arial" w:hint="default"/>
      </w:rPr>
    </w:lvl>
    <w:lvl w:ilvl="7" w:tplc="C848F42A" w:tentative="1">
      <w:start w:val="1"/>
      <w:numFmt w:val="bullet"/>
      <w:lvlText w:val="•"/>
      <w:lvlJc w:val="left"/>
      <w:pPr>
        <w:tabs>
          <w:tab w:val="num" w:pos="5400"/>
        </w:tabs>
        <w:ind w:left="5400" w:hanging="360"/>
      </w:pPr>
      <w:rPr>
        <w:rFonts w:ascii="Arial" w:hAnsi="Arial" w:hint="default"/>
      </w:rPr>
    </w:lvl>
    <w:lvl w:ilvl="8" w:tplc="9266BA3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5491F9B"/>
    <w:multiLevelType w:val="hybridMultilevel"/>
    <w:tmpl w:val="0A4E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146EB"/>
    <w:multiLevelType w:val="multilevel"/>
    <w:tmpl w:val="DCC2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011AC"/>
    <w:multiLevelType w:val="hybridMultilevel"/>
    <w:tmpl w:val="DD00C636"/>
    <w:lvl w:ilvl="0" w:tplc="FA3ECE9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F4C03"/>
    <w:multiLevelType w:val="hybridMultilevel"/>
    <w:tmpl w:val="28B0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71A3E"/>
    <w:multiLevelType w:val="hybridMultilevel"/>
    <w:tmpl w:val="DCA8D066"/>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876725"/>
    <w:multiLevelType w:val="hybridMultilevel"/>
    <w:tmpl w:val="A7CC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D54FF"/>
    <w:multiLevelType w:val="hybridMultilevel"/>
    <w:tmpl w:val="6ECAD3CE"/>
    <w:lvl w:ilvl="0" w:tplc="7B7CB0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E7709"/>
    <w:multiLevelType w:val="hybridMultilevel"/>
    <w:tmpl w:val="D20A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63B"/>
    <w:multiLevelType w:val="multilevel"/>
    <w:tmpl w:val="A8A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0D0323"/>
    <w:multiLevelType w:val="multilevel"/>
    <w:tmpl w:val="FE9A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36E94"/>
    <w:multiLevelType w:val="hybridMultilevel"/>
    <w:tmpl w:val="F712F830"/>
    <w:styleLink w:val="ListBullet"/>
    <w:lvl w:ilvl="0" w:tplc="2670F79A">
      <w:start w:val="1"/>
      <w:numFmt w:val="bullet"/>
      <w:lvlText w:val=""/>
      <w:lvlJc w:val="left"/>
      <w:pPr>
        <w:tabs>
          <w:tab w:val="num" w:pos="454"/>
        </w:tabs>
        <w:ind w:left="454" w:hanging="454"/>
      </w:pPr>
      <w:rPr>
        <w:rFonts w:ascii="Symbol" w:hAnsi="Symbol" w:hint="default"/>
        <w:b w:val="0"/>
        <w:i w:val="0"/>
        <w:color w:val="auto"/>
        <w:position w:val="0"/>
        <w:sz w:val="18"/>
      </w:rPr>
    </w:lvl>
    <w:lvl w:ilvl="1" w:tplc="63AC12A6">
      <w:start w:val="1"/>
      <w:numFmt w:val="bullet"/>
      <w:lvlText w:val=""/>
      <w:lvlJc w:val="left"/>
      <w:pPr>
        <w:tabs>
          <w:tab w:val="num" w:pos="737"/>
        </w:tabs>
        <w:ind w:left="1021" w:hanging="284"/>
      </w:pPr>
      <w:rPr>
        <w:rFonts w:ascii="Symbol" w:hAnsi="Symbol" w:hint="default"/>
        <w:b w:val="0"/>
        <w:i w:val="0"/>
        <w:color w:val="auto"/>
        <w:position w:val="0"/>
        <w:sz w:val="18"/>
      </w:rPr>
    </w:lvl>
    <w:lvl w:ilvl="2" w:tplc="AC9C4EAE">
      <w:start w:val="1"/>
      <w:numFmt w:val="bullet"/>
      <w:lvlText w:val=""/>
      <w:lvlJc w:val="left"/>
      <w:pPr>
        <w:tabs>
          <w:tab w:val="num" w:pos="1021"/>
        </w:tabs>
        <w:ind w:left="1304" w:hanging="283"/>
      </w:pPr>
      <w:rPr>
        <w:rFonts w:ascii="Symbol" w:hAnsi="Symbol" w:hint="default"/>
        <w:b w:val="0"/>
        <w:i w:val="0"/>
        <w:color w:val="auto"/>
        <w:position w:val="0"/>
        <w:sz w:val="18"/>
      </w:rPr>
    </w:lvl>
    <w:lvl w:ilvl="3" w:tplc="E33E3CDE">
      <w:start w:val="1"/>
      <w:numFmt w:val="bullet"/>
      <w:lvlText w:val=""/>
      <w:lvlJc w:val="left"/>
      <w:pPr>
        <w:tabs>
          <w:tab w:val="num" w:pos="1304"/>
        </w:tabs>
        <w:ind w:left="1304" w:hanging="283"/>
      </w:pPr>
      <w:rPr>
        <w:rFonts w:ascii="Wingdings" w:hAnsi="Wingdings" w:hint="default"/>
        <w:b w:val="0"/>
        <w:i w:val="0"/>
        <w:color w:val="auto"/>
        <w:sz w:val="17"/>
      </w:rPr>
    </w:lvl>
    <w:lvl w:ilvl="4" w:tplc="8BDCFE7C">
      <w:start w:val="1"/>
      <w:numFmt w:val="bullet"/>
      <w:lvlText w:val=""/>
      <w:lvlJc w:val="left"/>
      <w:pPr>
        <w:tabs>
          <w:tab w:val="num" w:pos="1134"/>
        </w:tabs>
        <w:ind w:left="1134" w:hanging="227"/>
      </w:pPr>
      <w:rPr>
        <w:rFonts w:ascii="Wingdings" w:hAnsi="Wingdings" w:hint="default"/>
        <w:b w:val="0"/>
        <w:i w:val="0"/>
        <w:color w:val="auto"/>
        <w:sz w:val="17"/>
      </w:rPr>
    </w:lvl>
    <w:lvl w:ilvl="5" w:tplc="8DDCD87E">
      <w:start w:val="1"/>
      <w:numFmt w:val="bullet"/>
      <w:lvlText w:val=""/>
      <w:lvlJc w:val="left"/>
      <w:pPr>
        <w:tabs>
          <w:tab w:val="num" w:pos="1361"/>
        </w:tabs>
        <w:ind w:left="1361" w:hanging="227"/>
      </w:pPr>
      <w:rPr>
        <w:rFonts w:ascii="Wingdings" w:hAnsi="Wingdings" w:hint="default"/>
        <w:color w:val="auto"/>
      </w:rPr>
    </w:lvl>
    <w:lvl w:ilvl="6" w:tplc="15EC5A88">
      <w:start w:val="1"/>
      <w:numFmt w:val="bullet"/>
      <w:lvlText w:val=""/>
      <w:lvlJc w:val="left"/>
      <w:pPr>
        <w:tabs>
          <w:tab w:val="num" w:pos="1588"/>
        </w:tabs>
        <w:ind w:left="1588" w:hanging="227"/>
      </w:pPr>
      <w:rPr>
        <w:rFonts w:ascii="Wingdings" w:hAnsi="Wingdings" w:hint="default"/>
        <w:b w:val="0"/>
        <w:i w:val="0"/>
        <w:color w:val="auto"/>
        <w:sz w:val="17"/>
      </w:rPr>
    </w:lvl>
    <w:lvl w:ilvl="7" w:tplc="972857A4">
      <w:start w:val="1"/>
      <w:numFmt w:val="bullet"/>
      <w:lvlText w:val=""/>
      <w:lvlJc w:val="left"/>
      <w:pPr>
        <w:tabs>
          <w:tab w:val="num" w:pos="1814"/>
        </w:tabs>
        <w:ind w:left="1814" w:hanging="226"/>
      </w:pPr>
      <w:rPr>
        <w:rFonts w:ascii="Wingdings" w:hAnsi="Wingdings" w:hint="default"/>
      </w:rPr>
    </w:lvl>
    <w:lvl w:ilvl="8" w:tplc="AD983432">
      <w:start w:val="1"/>
      <w:numFmt w:val="bullet"/>
      <w:lvlText w:val=""/>
      <w:lvlJc w:val="left"/>
      <w:pPr>
        <w:tabs>
          <w:tab w:val="num" w:pos="2041"/>
        </w:tabs>
        <w:ind w:left="2041" w:hanging="227"/>
      </w:pPr>
      <w:rPr>
        <w:rFonts w:ascii="Wingdings" w:hAnsi="Wingdings" w:hint="default"/>
        <w:b w:val="0"/>
        <w:i w:val="0"/>
        <w:color w:val="auto"/>
        <w:sz w:val="17"/>
      </w:rPr>
    </w:lvl>
  </w:abstractNum>
  <w:abstractNum w:abstractNumId="21" w15:restartNumberingAfterBreak="0">
    <w:nsid w:val="3B8776B4"/>
    <w:multiLevelType w:val="multilevel"/>
    <w:tmpl w:val="9BB4AE9A"/>
    <w:styleLink w:val="Listnumbered"/>
    <w:lvl w:ilvl="0">
      <w:start w:val="1"/>
      <w:numFmt w:val="decimal"/>
      <w:isLg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rPr>
    </w:lvl>
    <w:lvl w:ilvl="2">
      <w:start w:val="1"/>
      <w:numFmt w:val="decimal"/>
      <w:isLgl/>
      <w:lvlText w:val="%1.%2.%3."/>
      <w:lvlJc w:val="left"/>
      <w:pPr>
        <w:tabs>
          <w:tab w:val="num" w:pos="737"/>
        </w:tabs>
        <w:ind w:left="737" w:hanging="737"/>
      </w:pPr>
      <w:rPr>
        <w:rFonts w:hint="default"/>
      </w:rPr>
    </w:lvl>
    <w:lvl w:ilvl="3">
      <w:start w:val="1"/>
      <w:numFmt w:val="decimal"/>
      <w:isLgl/>
      <w:lvlText w:val="%1.%2.%3.%4."/>
      <w:lvlJc w:val="left"/>
      <w:pPr>
        <w:tabs>
          <w:tab w:val="num" w:pos="1021"/>
        </w:tabs>
        <w:ind w:left="1021" w:hanging="10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BBE280A"/>
    <w:multiLevelType w:val="hybridMultilevel"/>
    <w:tmpl w:val="5E80E6F0"/>
    <w:lvl w:ilvl="0" w:tplc="CF3852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981728"/>
    <w:multiLevelType w:val="multilevel"/>
    <w:tmpl w:val="1CDA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B92821"/>
    <w:multiLevelType w:val="hybridMultilevel"/>
    <w:tmpl w:val="6A2E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0F6ECC"/>
    <w:multiLevelType w:val="hybridMultilevel"/>
    <w:tmpl w:val="4044FCA4"/>
    <w:lvl w:ilvl="0" w:tplc="DAF200BE">
      <w:start w:val="1"/>
      <w:numFmt w:val="decimal"/>
      <w:pStyle w:val="Numbered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255D6A"/>
    <w:multiLevelType w:val="hybridMultilevel"/>
    <w:tmpl w:val="49220D6C"/>
    <w:lvl w:ilvl="0" w:tplc="E720365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6B2BE8"/>
    <w:multiLevelType w:val="hybridMultilevel"/>
    <w:tmpl w:val="17A218EE"/>
    <w:lvl w:ilvl="0" w:tplc="73BC8D7C">
      <w:start w:val="1"/>
      <w:numFmt w:val="decimal"/>
      <w:pStyle w:val="Subhead2"/>
      <w:lvlText w:val="%1."/>
      <w:lvlJc w:val="left"/>
      <w:pPr>
        <w:ind w:left="360" w:hanging="360"/>
      </w:pPr>
    </w:lvl>
    <w:lvl w:ilvl="1" w:tplc="3F10A9FC" w:tentative="1">
      <w:start w:val="1"/>
      <w:numFmt w:val="lowerLetter"/>
      <w:lvlText w:val="%2."/>
      <w:lvlJc w:val="left"/>
      <w:pPr>
        <w:ind w:left="1080" w:hanging="360"/>
      </w:pPr>
    </w:lvl>
    <w:lvl w:ilvl="2" w:tplc="D4A67DD6" w:tentative="1">
      <w:start w:val="1"/>
      <w:numFmt w:val="lowerRoman"/>
      <w:lvlText w:val="%3."/>
      <w:lvlJc w:val="right"/>
      <w:pPr>
        <w:ind w:left="1800" w:hanging="180"/>
      </w:pPr>
    </w:lvl>
    <w:lvl w:ilvl="3" w:tplc="15F22264" w:tentative="1">
      <w:start w:val="1"/>
      <w:numFmt w:val="decimal"/>
      <w:lvlText w:val="%4."/>
      <w:lvlJc w:val="left"/>
      <w:pPr>
        <w:ind w:left="2520" w:hanging="360"/>
      </w:pPr>
    </w:lvl>
    <w:lvl w:ilvl="4" w:tplc="B038C188" w:tentative="1">
      <w:start w:val="1"/>
      <w:numFmt w:val="lowerLetter"/>
      <w:lvlText w:val="%5."/>
      <w:lvlJc w:val="left"/>
      <w:pPr>
        <w:ind w:left="3240" w:hanging="360"/>
      </w:pPr>
    </w:lvl>
    <w:lvl w:ilvl="5" w:tplc="24D21644" w:tentative="1">
      <w:start w:val="1"/>
      <w:numFmt w:val="lowerRoman"/>
      <w:lvlText w:val="%6."/>
      <w:lvlJc w:val="right"/>
      <w:pPr>
        <w:ind w:left="3960" w:hanging="180"/>
      </w:pPr>
    </w:lvl>
    <w:lvl w:ilvl="6" w:tplc="86BC7530" w:tentative="1">
      <w:start w:val="1"/>
      <w:numFmt w:val="decimal"/>
      <w:lvlText w:val="%7."/>
      <w:lvlJc w:val="left"/>
      <w:pPr>
        <w:ind w:left="4680" w:hanging="360"/>
      </w:pPr>
    </w:lvl>
    <w:lvl w:ilvl="7" w:tplc="1FFEC6BA" w:tentative="1">
      <w:start w:val="1"/>
      <w:numFmt w:val="lowerLetter"/>
      <w:lvlText w:val="%8."/>
      <w:lvlJc w:val="left"/>
      <w:pPr>
        <w:ind w:left="5400" w:hanging="360"/>
      </w:pPr>
    </w:lvl>
    <w:lvl w:ilvl="8" w:tplc="630637D8" w:tentative="1">
      <w:start w:val="1"/>
      <w:numFmt w:val="lowerRoman"/>
      <w:lvlText w:val="%9."/>
      <w:lvlJc w:val="right"/>
      <w:pPr>
        <w:ind w:left="6120" w:hanging="180"/>
      </w:pPr>
    </w:lvl>
  </w:abstractNum>
  <w:abstractNum w:abstractNumId="28" w15:restartNumberingAfterBreak="0">
    <w:nsid w:val="584C1C84"/>
    <w:multiLevelType w:val="hybridMultilevel"/>
    <w:tmpl w:val="321E1200"/>
    <w:lvl w:ilvl="0" w:tplc="F8B03F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00D23"/>
    <w:multiLevelType w:val="hybridMultilevel"/>
    <w:tmpl w:val="6C1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24C29"/>
    <w:multiLevelType w:val="hybridMultilevel"/>
    <w:tmpl w:val="161485AE"/>
    <w:lvl w:ilvl="0" w:tplc="B3149ED6">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605269F1"/>
    <w:multiLevelType w:val="hybridMultilevel"/>
    <w:tmpl w:val="093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C7414"/>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6BA4B99"/>
    <w:multiLevelType w:val="hybridMultilevel"/>
    <w:tmpl w:val="EA5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C4ED9"/>
    <w:multiLevelType w:val="hybridMultilevel"/>
    <w:tmpl w:val="207A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43AEF"/>
    <w:multiLevelType w:val="hybridMultilevel"/>
    <w:tmpl w:val="2A0A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551EE"/>
    <w:multiLevelType w:val="hybridMultilevel"/>
    <w:tmpl w:val="D1F8C4DA"/>
    <w:lvl w:ilvl="0" w:tplc="CF38528C">
      <w:start w:val="1"/>
      <w:numFmt w:val="bullet"/>
      <w:lvlText w:val="•"/>
      <w:lvlJc w:val="left"/>
      <w:pPr>
        <w:tabs>
          <w:tab w:val="num" w:pos="360"/>
        </w:tabs>
        <w:ind w:left="360" w:hanging="360"/>
      </w:pPr>
      <w:rPr>
        <w:rFonts w:ascii="Arial" w:hAnsi="Arial" w:hint="default"/>
      </w:rPr>
    </w:lvl>
    <w:lvl w:ilvl="1" w:tplc="04BABF30" w:tentative="1">
      <w:start w:val="1"/>
      <w:numFmt w:val="bullet"/>
      <w:lvlText w:val="•"/>
      <w:lvlJc w:val="left"/>
      <w:pPr>
        <w:tabs>
          <w:tab w:val="num" w:pos="1080"/>
        </w:tabs>
        <w:ind w:left="1080" w:hanging="360"/>
      </w:pPr>
      <w:rPr>
        <w:rFonts w:ascii="Arial" w:hAnsi="Arial" w:hint="default"/>
      </w:rPr>
    </w:lvl>
    <w:lvl w:ilvl="2" w:tplc="2910AA9C" w:tentative="1">
      <w:start w:val="1"/>
      <w:numFmt w:val="bullet"/>
      <w:lvlText w:val="•"/>
      <w:lvlJc w:val="left"/>
      <w:pPr>
        <w:tabs>
          <w:tab w:val="num" w:pos="1800"/>
        </w:tabs>
        <w:ind w:left="1800" w:hanging="360"/>
      </w:pPr>
      <w:rPr>
        <w:rFonts w:ascii="Arial" w:hAnsi="Arial" w:hint="default"/>
      </w:rPr>
    </w:lvl>
    <w:lvl w:ilvl="3" w:tplc="B4A0005C" w:tentative="1">
      <w:start w:val="1"/>
      <w:numFmt w:val="bullet"/>
      <w:lvlText w:val="•"/>
      <w:lvlJc w:val="left"/>
      <w:pPr>
        <w:tabs>
          <w:tab w:val="num" w:pos="2520"/>
        </w:tabs>
        <w:ind w:left="2520" w:hanging="360"/>
      </w:pPr>
      <w:rPr>
        <w:rFonts w:ascii="Arial" w:hAnsi="Arial" w:hint="default"/>
      </w:rPr>
    </w:lvl>
    <w:lvl w:ilvl="4" w:tplc="3B3CF106" w:tentative="1">
      <w:start w:val="1"/>
      <w:numFmt w:val="bullet"/>
      <w:lvlText w:val="•"/>
      <w:lvlJc w:val="left"/>
      <w:pPr>
        <w:tabs>
          <w:tab w:val="num" w:pos="3240"/>
        </w:tabs>
        <w:ind w:left="3240" w:hanging="360"/>
      </w:pPr>
      <w:rPr>
        <w:rFonts w:ascii="Arial" w:hAnsi="Arial" w:hint="default"/>
      </w:rPr>
    </w:lvl>
    <w:lvl w:ilvl="5" w:tplc="F2040C62" w:tentative="1">
      <w:start w:val="1"/>
      <w:numFmt w:val="bullet"/>
      <w:lvlText w:val="•"/>
      <w:lvlJc w:val="left"/>
      <w:pPr>
        <w:tabs>
          <w:tab w:val="num" w:pos="3960"/>
        </w:tabs>
        <w:ind w:left="3960" w:hanging="360"/>
      </w:pPr>
      <w:rPr>
        <w:rFonts w:ascii="Arial" w:hAnsi="Arial" w:hint="default"/>
      </w:rPr>
    </w:lvl>
    <w:lvl w:ilvl="6" w:tplc="5D3AD5E2" w:tentative="1">
      <w:start w:val="1"/>
      <w:numFmt w:val="bullet"/>
      <w:lvlText w:val="•"/>
      <w:lvlJc w:val="left"/>
      <w:pPr>
        <w:tabs>
          <w:tab w:val="num" w:pos="4680"/>
        </w:tabs>
        <w:ind w:left="4680" w:hanging="360"/>
      </w:pPr>
      <w:rPr>
        <w:rFonts w:ascii="Arial" w:hAnsi="Arial" w:hint="default"/>
      </w:rPr>
    </w:lvl>
    <w:lvl w:ilvl="7" w:tplc="C848F42A" w:tentative="1">
      <w:start w:val="1"/>
      <w:numFmt w:val="bullet"/>
      <w:lvlText w:val="•"/>
      <w:lvlJc w:val="left"/>
      <w:pPr>
        <w:tabs>
          <w:tab w:val="num" w:pos="5400"/>
        </w:tabs>
        <w:ind w:left="5400" w:hanging="360"/>
      </w:pPr>
      <w:rPr>
        <w:rFonts w:ascii="Arial" w:hAnsi="Arial" w:hint="default"/>
      </w:rPr>
    </w:lvl>
    <w:lvl w:ilvl="8" w:tplc="9266BA34"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4C14E28"/>
    <w:multiLevelType w:val="hybridMultilevel"/>
    <w:tmpl w:val="42144FBC"/>
    <w:lvl w:ilvl="0" w:tplc="66900778">
      <w:start w:val="1"/>
      <w:numFmt w:val="bullet"/>
      <w:lvlText w:val="•"/>
      <w:lvlJc w:val="left"/>
      <w:pPr>
        <w:tabs>
          <w:tab w:val="num" w:pos="360"/>
        </w:tabs>
        <w:ind w:left="360" w:hanging="360"/>
      </w:pPr>
      <w:rPr>
        <w:rFonts w:ascii="Arial" w:hAnsi="Arial" w:hint="default"/>
      </w:rPr>
    </w:lvl>
    <w:lvl w:ilvl="1" w:tplc="04BABF30" w:tentative="1">
      <w:start w:val="1"/>
      <w:numFmt w:val="bullet"/>
      <w:lvlText w:val="•"/>
      <w:lvlJc w:val="left"/>
      <w:pPr>
        <w:tabs>
          <w:tab w:val="num" w:pos="1080"/>
        </w:tabs>
        <w:ind w:left="1080" w:hanging="360"/>
      </w:pPr>
      <w:rPr>
        <w:rFonts w:ascii="Arial" w:hAnsi="Arial" w:hint="default"/>
      </w:rPr>
    </w:lvl>
    <w:lvl w:ilvl="2" w:tplc="2910AA9C" w:tentative="1">
      <w:start w:val="1"/>
      <w:numFmt w:val="bullet"/>
      <w:lvlText w:val="•"/>
      <w:lvlJc w:val="left"/>
      <w:pPr>
        <w:tabs>
          <w:tab w:val="num" w:pos="1800"/>
        </w:tabs>
        <w:ind w:left="1800" w:hanging="360"/>
      </w:pPr>
      <w:rPr>
        <w:rFonts w:ascii="Arial" w:hAnsi="Arial" w:hint="default"/>
      </w:rPr>
    </w:lvl>
    <w:lvl w:ilvl="3" w:tplc="B4A0005C" w:tentative="1">
      <w:start w:val="1"/>
      <w:numFmt w:val="bullet"/>
      <w:lvlText w:val="•"/>
      <w:lvlJc w:val="left"/>
      <w:pPr>
        <w:tabs>
          <w:tab w:val="num" w:pos="2520"/>
        </w:tabs>
        <w:ind w:left="2520" w:hanging="360"/>
      </w:pPr>
      <w:rPr>
        <w:rFonts w:ascii="Arial" w:hAnsi="Arial" w:hint="default"/>
      </w:rPr>
    </w:lvl>
    <w:lvl w:ilvl="4" w:tplc="3B3CF106" w:tentative="1">
      <w:start w:val="1"/>
      <w:numFmt w:val="bullet"/>
      <w:lvlText w:val="•"/>
      <w:lvlJc w:val="left"/>
      <w:pPr>
        <w:tabs>
          <w:tab w:val="num" w:pos="3240"/>
        </w:tabs>
        <w:ind w:left="3240" w:hanging="360"/>
      </w:pPr>
      <w:rPr>
        <w:rFonts w:ascii="Arial" w:hAnsi="Arial" w:hint="default"/>
      </w:rPr>
    </w:lvl>
    <w:lvl w:ilvl="5" w:tplc="F2040C62" w:tentative="1">
      <w:start w:val="1"/>
      <w:numFmt w:val="bullet"/>
      <w:lvlText w:val="•"/>
      <w:lvlJc w:val="left"/>
      <w:pPr>
        <w:tabs>
          <w:tab w:val="num" w:pos="3960"/>
        </w:tabs>
        <w:ind w:left="3960" w:hanging="360"/>
      </w:pPr>
      <w:rPr>
        <w:rFonts w:ascii="Arial" w:hAnsi="Arial" w:hint="default"/>
      </w:rPr>
    </w:lvl>
    <w:lvl w:ilvl="6" w:tplc="5D3AD5E2" w:tentative="1">
      <w:start w:val="1"/>
      <w:numFmt w:val="bullet"/>
      <w:lvlText w:val="•"/>
      <w:lvlJc w:val="left"/>
      <w:pPr>
        <w:tabs>
          <w:tab w:val="num" w:pos="4680"/>
        </w:tabs>
        <w:ind w:left="4680" w:hanging="360"/>
      </w:pPr>
      <w:rPr>
        <w:rFonts w:ascii="Arial" w:hAnsi="Arial" w:hint="default"/>
      </w:rPr>
    </w:lvl>
    <w:lvl w:ilvl="7" w:tplc="C848F42A" w:tentative="1">
      <w:start w:val="1"/>
      <w:numFmt w:val="bullet"/>
      <w:lvlText w:val="•"/>
      <w:lvlJc w:val="left"/>
      <w:pPr>
        <w:tabs>
          <w:tab w:val="num" w:pos="5400"/>
        </w:tabs>
        <w:ind w:left="5400" w:hanging="360"/>
      </w:pPr>
      <w:rPr>
        <w:rFonts w:ascii="Arial" w:hAnsi="Arial" w:hint="default"/>
      </w:rPr>
    </w:lvl>
    <w:lvl w:ilvl="8" w:tplc="9266BA34"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8581CF1"/>
    <w:multiLevelType w:val="hybridMultilevel"/>
    <w:tmpl w:val="483A4B22"/>
    <w:lvl w:ilvl="0" w:tplc="2834961E">
      <w:start w:val="1"/>
      <w:numFmt w:val="bullet"/>
      <w:pStyle w:val="Bullet1"/>
      <w:lvlText w:val=""/>
      <w:lvlJc w:val="left"/>
      <w:pPr>
        <w:ind w:left="360" w:hanging="360"/>
      </w:pPr>
      <w:rPr>
        <w:rFonts w:ascii="Symbol" w:hAnsi="Symbol" w:hint="default"/>
        <w:b w:val="0"/>
        <w:i w:val="0"/>
        <w:color w:val="00A3C7" w:themeColor="text2"/>
        <w:position w:val="0"/>
        <w:sz w:val="18"/>
      </w:rPr>
    </w:lvl>
    <w:lvl w:ilvl="1" w:tplc="98406828">
      <w:start w:val="1"/>
      <w:numFmt w:val="bullet"/>
      <w:lvlText w:val=""/>
      <w:lvlJc w:val="left"/>
      <w:pPr>
        <w:tabs>
          <w:tab w:val="num" w:pos="737"/>
        </w:tabs>
        <w:ind w:left="1021" w:hanging="284"/>
      </w:pPr>
      <w:rPr>
        <w:rFonts w:ascii="Wingdings" w:hAnsi="Wingdings" w:hint="default"/>
        <w:b w:val="0"/>
        <w:i w:val="0"/>
        <w:color w:val="00A3C7"/>
        <w:sz w:val="18"/>
      </w:rPr>
    </w:lvl>
    <w:lvl w:ilvl="2" w:tplc="5BD21834">
      <w:start w:val="1"/>
      <w:numFmt w:val="bullet"/>
      <w:lvlText w:val=""/>
      <w:lvlJc w:val="left"/>
      <w:pPr>
        <w:tabs>
          <w:tab w:val="num" w:pos="1021"/>
        </w:tabs>
        <w:ind w:left="1304" w:hanging="283"/>
      </w:pPr>
      <w:rPr>
        <w:rFonts w:ascii="Wingdings" w:hAnsi="Wingdings" w:hint="default"/>
        <w:b w:val="0"/>
        <w:i w:val="0"/>
        <w:color w:val="00A3C7"/>
        <w:position w:val="0"/>
        <w:sz w:val="18"/>
      </w:rPr>
    </w:lvl>
    <w:lvl w:ilvl="3" w:tplc="E2A4702A">
      <w:start w:val="1"/>
      <w:numFmt w:val="bullet"/>
      <w:lvlText w:val=""/>
      <w:lvlJc w:val="left"/>
      <w:pPr>
        <w:tabs>
          <w:tab w:val="num" w:pos="1304"/>
        </w:tabs>
        <w:ind w:left="1304" w:hanging="283"/>
      </w:pPr>
      <w:rPr>
        <w:rFonts w:ascii="Wingdings" w:hAnsi="Wingdings" w:hint="default"/>
        <w:b w:val="0"/>
        <w:i w:val="0"/>
        <w:color w:val="auto"/>
        <w:sz w:val="17"/>
      </w:rPr>
    </w:lvl>
    <w:lvl w:ilvl="4" w:tplc="9E688CF0">
      <w:start w:val="1"/>
      <w:numFmt w:val="bullet"/>
      <w:lvlText w:val=""/>
      <w:lvlJc w:val="left"/>
      <w:pPr>
        <w:tabs>
          <w:tab w:val="num" w:pos="1134"/>
        </w:tabs>
        <w:ind w:left="1134" w:hanging="227"/>
      </w:pPr>
      <w:rPr>
        <w:rFonts w:ascii="Wingdings" w:hAnsi="Wingdings" w:hint="default"/>
        <w:b w:val="0"/>
        <w:i w:val="0"/>
        <w:color w:val="auto"/>
        <w:sz w:val="17"/>
      </w:rPr>
    </w:lvl>
    <w:lvl w:ilvl="5" w:tplc="5F5A7530">
      <w:start w:val="1"/>
      <w:numFmt w:val="bullet"/>
      <w:lvlText w:val=""/>
      <w:lvlJc w:val="left"/>
      <w:pPr>
        <w:tabs>
          <w:tab w:val="num" w:pos="1361"/>
        </w:tabs>
        <w:ind w:left="1361" w:hanging="227"/>
      </w:pPr>
      <w:rPr>
        <w:rFonts w:ascii="Wingdings" w:hAnsi="Wingdings" w:hint="default"/>
        <w:color w:val="auto"/>
      </w:rPr>
    </w:lvl>
    <w:lvl w:ilvl="6" w:tplc="51D25FEE">
      <w:start w:val="1"/>
      <w:numFmt w:val="bullet"/>
      <w:lvlText w:val=""/>
      <w:lvlJc w:val="left"/>
      <w:pPr>
        <w:tabs>
          <w:tab w:val="num" w:pos="1588"/>
        </w:tabs>
        <w:ind w:left="1588" w:hanging="227"/>
      </w:pPr>
      <w:rPr>
        <w:rFonts w:ascii="Wingdings" w:hAnsi="Wingdings" w:hint="default"/>
        <w:b w:val="0"/>
        <w:i w:val="0"/>
        <w:color w:val="auto"/>
        <w:sz w:val="17"/>
      </w:rPr>
    </w:lvl>
    <w:lvl w:ilvl="7" w:tplc="B4BC0050">
      <w:start w:val="1"/>
      <w:numFmt w:val="bullet"/>
      <w:lvlText w:val=""/>
      <w:lvlJc w:val="left"/>
      <w:pPr>
        <w:tabs>
          <w:tab w:val="num" w:pos="1814"/>
        </w:tabs>
        <w:ind w:left="1814" w:hanging="226"/>
      </w:pPr>
      <w:rPr>
        <w:rFonts w:ascii="Wingdings" w:hAnsi="Wingdings" w:hint="default"/>
      </w:rPr>
    </w:lvl>
    <w:lvl w:ilvl="8" w:tplc="571E932E">
      <w:start w:val="1"/>
      <w:numFmt w:val="bullet"/>
      <w:lvlText w:val=""/>
      <w:lvlJc w:val="left"/>
      <w:pPr>
        <w:tabs>
          <w:tab w:val="num" w:pos="2041"/>
        </w:tabs>
        <w:ind w:left="2041" w:hanging="227"/>
      </w:pPr>
      <w:rPr>
        <w:rFonts w:ascii="Wingdings" w:hAnsi="Wingdings" w:hint="default"/>
        <w:b w:val="0"/>
        <w:i w:val="0"/>
        <w:color w:val="auto"/>
        <w:sz w:val="17"/>
      </w:rPr>
    </w:lvl>
  </w:abstractNum>
  <w:abstractNum w:abstractNumId="39" w15:restartNumberingAfterBreak="0">
    <w:nsid w:val="7E833934"/>
    <w:multiLevelType w:val="hybridMultilevel"/>
    <w:tmpl w:val="61B02D30"/>
    <w:lvl w:ilvl="0" w:tplc="F9B2DB00">
      <w:start w:val="1"/>
      <w:numFmt w:val="bullet"/>
      <w:lvlText w:val=""/>
      <w:lvlJc w:val="left"/>
      <w:pPr>
        <w:tabs>
          <w:tab w:val="num" w:pos="454"/>
        </w:tabs>
        <w:ind w:left="454" w:hanging="454"/>
      </w:pPr>
      <w:rPr>
        <w:rFonts w:ascii="Symbol" w:hAnsi="Symbol" w:hint="default"/>
        <w:b w:val="0"/>
        <w:i w:val="0"/>
        <w:color w:val="auto"/>
        <w:position w:val="0"/>
        <w:sz w:val="16"/>
      </w:rPr>
    </w:lvl>
    <w:lvl w:ilvl="1" w:tplc="2A5C5032">
      <w:start w:val="1"/>
      <w:numFmt w:val="bullet"/>
      <w:lvlText w:val=""/>
      <w:lvlJc w:val="left"/>
      <w:pPr>
        <w:tabs>
          <w:tab w:val="num" w:pos="737"/>
        </w:tabs>
        <w:ind w:left="1021" w:hanging="284"/>
      </w:pPr>
      <w:rPr>
        <w:rFonts w:ascii="Wingdings" w:hAnsi="Wingdings" w:hint="default"/>
        <w:b w:val="0"/>
        <w:i w:val="0"/>
        <w:color w:val="00A3C7"/>
        <w:sz w:val="18"/>
      </w:rPr>
    </w:lvl>
    <w:lvl w:ilvl="2" w:tplc="F6B89E82">
      <w:start w:val="1"/>
      <w:numFmt w:val="bullet"/>
      <w:lvlText w:val=""/>
      <w:lvlJc w:val="left"/>
      <w:pPr>
        <w:tabs>
          <w:tab w:val="num" w:pos="1021"/>
        </w:tabs>
        <w:ind w:left="1304" w:hanging="283"/>
      </w:pPr>
      <w:rPr>
        <w:rFonts w:ascii="Wingdings" w:hAnsi="Wingdings" w:hint="default"/>
        <w:b w:val="0"/>
        <w:i w:val="0"/>
        <w:color w:val="00A3C7"/>
        <w:position w:val="0"/>
        <w:sz w:val="18"/>
      </w:rPr>
    </w:lvl>
    <w:lvl w:ilvl="3" w:tplc="8FCC2FE0">
      <w:start w:val="1"/>
      <w:numFmt w:val="bullet"/>
      <w:lvlText w:val=""/>
      <w:lvlJc w:val="left"/>
      <w:pPr>
        <w:tabs>
          <w:tab w:val="num" w:pos="1304"/>
        </w:tabs>
        <w:ind w:left="1304" w:hanging="283"/>
      </w:pPr>
      <w:rPr>
        <w:rFonts w:ascii="Wingdings" w:hAnsi="Wingdings" w:hint="default"/>
        <w:b w:val="0"/>
        <w:i w:val="0"/>
        <w:color w:val="auto"/>
        <w:sz w:val="17"/>
      </w:rPr>
    </w:lvl>
    <w:lvl w:ilvl="4" w:tplc="1ECE076C">
      <w:start w:val="1"/>
      <w:numFmt w:val="bullet"/>
      <w:lvlText w:val=""/>
      <w:lvlJc w:val="left"/>
      <w:pPr>
        <w:tabs>
          <w:tab w:val="num" w:pos="1134"/>
        </w:tabs>
        <w:ind w:left="1134" w:hanging="227"/>
      </w:pPr>
      <w:rPr>
        <w:rFonts w:ascii="Wingdings" w:hAnsi="Wingdings" w:hint="default"/>
        <w:b w:val="0"/>
        <w:i w:val="0"/>
        <w:color w:val="auto"/>
        <w:sz w:val="17"/>
      </w:rPr>
    </w:lvl>
    <w:lvl w:ilvl="5" w:tplc="05968ABE">
      <w:start w:val="1"/>
      <w:numFmt w:val="bullet"/>
      <w:lvlText w:val=""/>
      <w:lvlJc w:val="left"/>
      <w:pPr>
        <w:tabs>
          <w:tab w:val="num" w:pos="1361"/>
        </w:tabs>
        <w:ind w:left="1361" w:hanging="227"/>
      </w:pPr>
      <w:rPr>
        <w:rFonts w:ascii="Wingdings" w:hAnsi="Wingdings" w:hint="default"/>
        <w:color w:val="auto"/>
      </w:rPr>
    </w:lvl>
    <w:lvl w:ilvl="6" w:tplc="19FC44FC">
      <w:start w:val="1"/>
      <w:numFmt w:val="bullet"/>
      <w:lvlText w:val=""/>
      <w:lvlJc w:val="left"/>
      <w:pPr>
        <w:tabs>
          <w:tab w:val="num" w:pos="1588"/>
        </w:tabs>
        <w:ind w:left="1588" w:hanging="227"/>
      </w:pPr>
      <w:rPr>
        <w:rFonts w:ascii="Wingdings" w:hAnsi="Wingdings" w:hint="default"/>
        <w:b w:val="0"/>
        <w:i w:val="0"/>
        <w:color w:val="auto"/>
        <w:sz w:val="17"/>
      </w:rPr>
    </w:lvl>
    <w:lvl w:ilvl="7" w:tplc="EEB4FA06">
      <w:start w:val="1"/>
      <w:numFmt w:val="bullet"/>
      <w:lvlText w:val=""/>
      <w:lvlJc w:val="left"/>
      <w:pPr>
        <w:tabs>
          <w:tab w:val="num" w:pos="1814"/>
        </w:tabs>
        <w:ind w:left="1814" w:hanging="226"/>
      </w:pPr>
      <w:rPr>
        <w:rFonts w:ascii="Wingdings" w:hAnsi="Wingdings" w:hint="default"/>
      </w:rPr>
    </w:lvl>
    <w:lvl w:ilvl="8" w:tplc="4C1EAF94">
      <w:start w:val="1"/>
      <w:numFmt w:val="bullet"/>
      <w:lvlText w:val=""/>
      <w:lvlJc w:val="left"/>
      <w:pPr>
        <w:tabs>
          <w:tab w:val="num" w:pos="2041"/>
        </w:tabs>
        <w:ind w:left="2041" w:hanging="227"/>
      </w:pPr>
      <w:rPr>
        <w:rFonts w:ascii="Wingdings" w:hAnsi="Wingdings" w:hint="default"/>
        <w:b w:val="0"/>
        <w:i w:val="0"/>
        <w:color w:val="auto"/>
        <w:sz w:val="17"/>
      </w:rPr>
    </w:lvl>
  </w:abstractNum>
  <w:num w:numId="1" w16cid:durableId="20522233">
    <w:abstractNumId w:val="37"/>
  </w:num>
  <w:num w:numId="2" w16cid:durableId="1317371748">
    <w:abstractNumId w:val="9"/>
  </w:num>
  <w:num w:numId="3" w16cid:durableId="824470621">
    <w:abstractNumId w:val="36"/>
  </w:num>
  <w:num w:numId="4" w16cid:durableId="1982152782">
    <w:abstractNumId w:val="7"/>
  </w:num>
  <w:num w:numId="5" w16cid:durableId="795761825">
    <w:abstractNumId w:val="17"/>
  </w:num>
  <w:num w:numId="6" w16cid:durableId="742337582">
    <w:abstractNumId w:val="15"/>
  </w:num>
  <w:num w:numId="7" w16cid:durableId="1396931042">
    <w:abstractNumId w:val="29"/>
  </w:num>
  <w:num w:numId="8" w16cid:durableId="1324427219">
    <w:abstractNumId w:val="22"/>
  </w:num>
  <w:num w:numId="9" w16cid:durableId="365836429">
    <w:abstractNumId w:val="5"/>
  </w:num>
  <w:num w:numId="10" w16cid:durableId="546799198">
    <w:abstractNumId w:val="38"/>
  </w:num>
  <w:num w:numId="11" w16cid:durableId="2146966221">
    <w:abstractNumId w:val="20"/>
  </w:num>
  <w:num w:numId="12" w16cid:durableId="92016117">
    <w:abstractNumId w:val="21"/>
  </w:num>
  <w:num w:numId="13" w16cid:durableId="372000271">
    <w:abstractNumId w:val="25"/>
  </w:num>
  <w:num w:numId="14" w16cid:durableId="1653487574">
    <w:abstractNumId w:val="32"/>
  </w:num>
  <w:num w:numId="15" w16cid:durableId="1819107489">
    <w:abstractNumId w:val="0"/>
  </w:num>
  <w:num w:numId="16" w16cid:durableId="1807697247">
    <w:abstractNumId w:val="38"/>
  </w:num>
  <w:num w:numId="17" w16cid:durableId="689335942">
    <w:abstractNumId w:val="25"/>
  </w:num>
  <w:num w:numId="18" w16cid:durableId="1702393298">
    <w:abstractNumId w:val="25"/>
  </w:num>
  <w:num w:numId="19" w16cid:durableId="1528255150">
    <w:abstractNumId w:val="25"/>
  </w:num>
  <w:num w:numId="20" w16cid:durableId="2120249822">
    <w:abstractNumId w:val="25"/>
  </w:num>
  <w:num w:numId="21" w16cid:durableId="460880315">
    <w:abstractNumId w:val="25"/>
  </w:num>
  <w:num w:numId="22" w16cid:durableId="1330864283">
    <w:abstractNumId w:val="25"/>
  </w:num>
  <w:num w:numId="23" w16cid:durableId="138887445">
    <w:abstractNumId w:val="39"/>
  </w:num>
  <w:num w:numId="24" w16cid:durableId="1900557649">
    <w:abstractNumId w:val="38"/>
  </w:num>
  <w:num w:numId="25" w16cid:durableId="1333948142">
    <w:abstractNumId w:val="38"/>
  </w:num>
  <w:num w:numId="26" w16cid:durableId="1154184250">
    <w:abstractNumId w:val="38"/>
  </w:num>
  <w:num w:numId="27" w16cid:durableId="2015255819">
    <w:abstractNumId w:val="38"/>
  </w:num>
  <w:num w:numId="28" w16cid:durableId="1370104331">
    <w:abstractNumId w:val="38"/>
  </w:num>
  <w:num w:numId="29" w16cid:durableId="1511793225">
    <w:abstractNumId w:val="38"/>
  </w:num>
  <w:num w:numId="30" w16cid:durableId="402725658">
    <w:abstractNumId w:val="38"/>
  </w:num>
  <w:num w:numId="31" w16cid:durableId="337393072">
    <w:abstractNumId w:val="38"/>
  </w:num>
  <w:num w:numId="32" w16cid:durableId="1333797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79818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683345">
    <w:abstractNumId w:val="8"/>
  </w:num>
  <w:num w:numId="35" w16cid:durableId="1207060270">
    <w:abstractNumId w:val="34"/>
  </w:num>
  <w:num w:numId="36" w16cid:durableId="1992129049">
    <w:abstractNumId w:val="16"/>
  </w:num>
  <w:num w:numId="37" w16cid:durableId="482701903">
    <w:abstractNumId w:val="13"/>
  </w:num>
  <w:num w:numId="38" w16cid:durableId="1876960968">
    <w:abstractNumId w:val="28"/>
  </w:num>
  <w:num w:numId="39" w16cid:durableId="609970647">
    <w:abstractNumId w:val="4"/>
  </w:num>
  <w:num w:numId="40" w16cid:durableId="566963692">
    <w:abstractNumId w:val="26"/>
  </w:num>
  <w:num w:numId="41" w16cid:durableId="412748648">
    <w:abstractNumId w:val="24"/>
  </w:num>
  <w:num w:numId="42" w16cid:durableId="1256329695">
    <w:abstractNumId w:val="1"/>
  </w:num>
  <w:num w:numId="43" w16cid:durableId="2108840074">
    <w:abstractNumId w:val="14"/>
  </w:num>
  <w:num w:numId="44" w16cid:durableId="651637156">
    <w:abstractNumId w:val="10"/>
  </w:num>
  <w:num w:numId="45" w16cid:durableId="644625989">
    <w:abstractNumId w:val="25"/>
  </w:num>
  <w:num w:numId="46" w16cid:durableId="1867717659">
    <w:abstractNumId w:val="33"/>
  </w:num>
  <w:num w:numId="47" w16cid:durableId="2093042200">
    <w:abstractNumId w:val="27"/>
  </w:num>
  <w:num w:numId="48" w16cid:durableId="478349374">
    <w:abstractNumId w:val="31"/>
  </w:num>
  <w:num w:numId="49" w16cid:durableId="313141508">
    <w:abstractNumId w:val="6"/>
  </w:num>
  <w:num w:numId="50" w16cid:durableId="576599848">
    <w:abstractNumId w:val="18"/>
  </w:num>
  <w:num w:numId="51" w16cid:durableId="1875266448">
    <w:abstractNumId w:val="23"/>
  </w:num>
  <w:num w:numId="52" w16cid:durableId="802620236">
    <w:abstractNumId w:val="2"/>
  </w:num>
  <w:num w:numId="53" w16cid:durableId="1482044109">
    <w:abstractNumId w:val="19"/>
  </w:num>
  <w:num w:numId="54" w16cid:durableId="115761715">
    <w:abstractNumId w:val="11"/>
  </w:num>
  <w:num w:numId="55" w16cid:durableId="579144173">
    <w:abstractNumId w:val="35"/>
  </w:num>
  <w:num w:numId="56" w16cid:durableId="1822040252">
    <w:abstractNumId w:val="12"/>
  </w:num>
  <w:num w:numId="57" w16cid:durableId="1587377230">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B1"/>
    <w:rsid w:val="0000116D"/>
    <w:rsid w:val="00001328"/>
    <w:rsid w:val="00001A65"/>
    <w:rsid w:val="0000310A"/>
    <w:rsid w:val="00003128"/>
    <w:rsid w:val="00003171"/>
    <w:rsid w:val="000042EF"/>
    <w:rsid w:val="00004873"/>
    <w:rsid w:val="00005097"/>
    <w:rsid w:val="00005224"/>
    <w:rsid w:val="0000589B"/>
    <w:rsid w:val="00006845"/>
    <w:rsid w:val="0000724C"/>
    <w:rsid w:val="00010823"/>
    <w:rsid w:val="00010C06"/>
    <w:rsid w:val="00011F16"/>
    <w:rsid w:val="00011F76"/>
    <w:rsid w:val="0001202D"/>
    <w:rsid w:val="00012A03"/>
    <w:rsid w:val="000131E3"/>
    <w:rsid w:val="0001373B"/>
    <w:rsid w:val="00013C39"/>
    <w:rsid w:val="00014387"/>
    <w:rsid w:val="0001439F"/>
    <w:rsid w:val="00015AB5"/>
    <w:rsid w:val="00016051"/>
    <w:rsid w:val="000162ED"/>
    <w:rsid w:val="000166B0"/>
    <w:rsid w:val="00016978"/>
    <w:rsid w:val="00016C07"/>
    <w:rsid w:val="00016F1D"/>
    <w:rsid w:val="00017D2E"/>
    <w:rsid w:val="0002020B"/>
    <w:rsid w:val="0002235C"/>
    <w:rsid w:val="00022576"/>
    <w:rsid w:val="000225FC"/>
    <w:rsid w:val="00022E5C"/>
    <w:rsid w:val="00022F8E"/>
    <w:rsid w:val="00023194"/>
    <w:rsid w:val="00023273"/>
    <w:rsid w:val="000240C3"/>
    <w:rsid w:val="00024339"/>
    <w:rsid w:val="00026025"/>
    <w:rsid w:val="00026589"/>
    <w:rsid w:val="00026BA3"/>
    <w:rsid w:val="00026C22"/>
    <w:rsid w:val="00026F68"/>
    <w:rsid w:val="00026FBE"/>
    <w:rsid w:val="00027744"/>
    <w:rsid w:val="000277E5"/>
    <w:rsid w:val="000300E5"/>
    <w:rsid w:val="00030154"/>
    <w:rsid w:val="000307D5"/>
    <w:rsid w:val="0003097F"/>
    <w:rsid w:val="00030DC6"/>
    <w:rsid w:val="00031217"/>
    <w:rsid w:val="0003185B"/>
    <w:rsid w:val="00031C95"/>
    <w:rsid w:val="000336A6"/>
    <w:rsid w:val="000336FE"/>
    <w:rsid w:val="00033963"/>
    <w:rsid w:val="00033978"/>
    <w:rsid w:val="00033A12"/>
    <w:rsid w:val="00033C0B"/>
    <w:rsid w:val="000340A9"/>
    <w:rsid w:val="00034706"/>
    <w:rsid w:val="000348EB"/>
    <w:rsid w:val="00035CFF"/>
    <w:rsid w:val="00036177"/>
    <w:rsid w:val="000365B0"/>
    <w:rsid w:val="0003680B"/>
    <w:rsid w:val="00036A47"/>
    <w:rsid w:val="00037120"/>
    <w:rsid w:val="00037896"/>
    <w:rsid w:val="00037BA7"/>
    <w:rsid w:val="00037E41"/>
    <w:rsid w:val="00037FA7"/>
    <w:rsid w:val="0004013F"/>
    <w:rsid w:val="000402D1"/>
    <w:rsid w:val="00041D29"/>
    <w:rsid w:val="00042818"/>
    <w:rsid w:val="00042D78"/>
    <w:rsid w:val="0004362B"/>
    <w:rsid w:val="0004418B"/>
    <w:rsid w:val="000445D3"/>
    <w:rsid w:val="00044673"/>
    <w:rsid w:val="0004576D"/>
    <w:rsid w:val="00045799"/>
    <w:rsid w:val="00046C22"/>
    <w:rsid w:val="00047944"/>
    <w:rsid w:val="00050C03"/>
    <w:rsid w:val="00050CA5"/>
    <w:rsid w:val="0005166E"/>
    <w:rsid w:val="00052523"/>
    <w:rsid w:val="00053122"/>
    <w:rsid w:val="0005314E"/>
    <w:rsid w:val="00053559"/>
    <w:rsid w:val="0005366B"/>
    <w:rsid w:val="0005374C"/>
    <w:rsid w:val="00054213"/>
    <w:rsid w:val="00054CA4"/>
    <w:rsid w:val="00055650"/>
    <w:rsid w:val="000562BF"/>
    <w:rsid w:val="00056DDA"/>
    <w:rsid w:val="00056EF9"/>
    <w:rsid w:val="0005726C"/>
    <w:rsid w:val="0005757E"/>
    <w:rsid w:val="00057BE4"/>
    <w:rsid w:val="00057CA4"/>
    <w:rsid w:val="000601CA"/>
    <w:rsid w:val="00060F42"/>
    <w:rsid w:val="000635D3"/>
    <w:rsid w:val="00063642"/>
    <w:rsid w:val="00064379"/>
    <w:rsid w:val="0006496A"/>
    <w:rsid w:val="0006540F"/>
    <w:rsid w:val="00065D2F"/>
    <w:rsid w:val="0006603E"/>
    <w:rsid w:val="000664FE"/>
    <w:rsid w:val="00070287"/>
    <w:rsid w:val="00070881"/>
    <w:rsid w:val="000712E4"/>
    <w:rsid w:val="00071468"/>
    <w:rsid w:val="000718BE"/>
    <w:rsid w:val="00071DC8"/>
    <w:rsid w:val="0007272B"/>
    <w:rsid w:val="00072B4C"/>
    <w:rsid w:val="00073250"/>
    <w:rsid w:val="000732A8"/>
    <w:rsid w:val="00073480"/>
    <w:rsid w:val="00073C7A"/>
    <w:rsid w:val="0007436E"/>
    <w:rsid w:val="0007467B"/>
    <w:rsid w:val="0007475C"/>
    <w:rsid w:val="0007692B"/>
    <w:rsid w:val="0007711E"/>
    <w:rsid w:val="00077489"/>
    <w:rsid w:val="0007752C"/>
    <w:rsid w:val="00077DD9"/>
    <w:rsid w:val="000801A1"/>
    <w:rsid w:val="000801EB"/>
    <w:rsid w:val="000803F8"/>
    <w:rsid w:val="00080577"/>
    <w:rsid w:val="00080E6F"/>
    <w:rsid w:val="00081389"/>
    <w:rsid w:val="0008246C"/>
    <w:rsid w:val="00082FF4"/>
    <w:rsid w:val="00082FFD"/>
    <w:rsid w:val="00083C13"/>
    <w:rsid w:val="00083F3F"/>
    <w:rsid w:val="0008461E"/>
    <w:rsid w:val="00084918"/>
    <w:rsid w:val="000855AA"/>
    <w:rsid w:val="00085E9A"/>
    <w:rsid w:val="00086919"/>
    <w:rsid w:val="0008695B"/>
    <w:rsid w:val="00086CCA"/>
    <w:rsid w:val="00090490"/>
    <w:rsid w:val="0009052E"/>
    <w:rsid w:val="00091AB9"/>
    <w:rsid w:val="00091CD7"/>
    <w:rsid w:val="0009255A"/>
    <w:rsid w:val="0009273B"/>
    <w:rsid w:val="00092AA1"/>
    <w:rsid w:val="00092B33"/>
    <w:rsid w:val="00093243"/>
    <w:rsid w:val="00093694"/>
    <w:rsid w:val="00093BFD"/>
    <w:rsid w:val="00093CDF"/>
    <w:rsid w:val="00093F8A"/>
    <w:rsid w:val="00094E2B"/>
    <w:rsid w:val="00095650"/>
    <w:rsid w:val="00095C3A"/>
    <w:rsid w:val="00095C55"/>
    <w:rsid w:val="00096009"/>
    <w:rsid w:val="00096B51"/>
    <w:rsid w:val="000A0631"/>
    <w:rsid w:val="000A0AF2"/>
    <w:rsid w:val="000A1A00"/>
    <w:rsid w:val="000A1F9F"/>
    <w:rsid w:val="000A23AF"/>
    <w:rsid w:val="000A2433"/>
    <w:rsid w:val="000A2598"/>
    <w:rsid w:val="000A3B53"/>
    <w:rsid w:val="000A426D"/>
    <w:rsid w:val="000A6371"/>
    <w:rsid w:val="000B0265"/>
    <w:rsid w:val="000B04DE"/>
    <w:rsid w:val="000B0B5E"/>
    <w:rsid w:val="000B17B6"/>
    <w:rsid w:val="000B1BBC"/>
    <w:rsid w:val="000B1D0C"/>
    <w:rsid w:val="000B2B2D"/>
    <w:rsid w:val="000B3158"/>
    <w:rsid w:val="000B335E"/>
    <w:rsid w:val="000B3734"/>
    <w:rsid w:val="000B3818"/>
    <w:rsid w:val="000B3C81"/>
    <w:rsid w:val="000B3CB9"/>
    <w:rsid w:val="000B3D68"/>
    <w:rsid w:val="000B3F62"/>
    <w:rsid w:val="000B4C0B"/>
    <w:rsid w:val="000B5292"/>
    <w:rsid w:val="000B57CD"/>
    <w:rsid w:val="000B5AC0"/>
    <w:rsid w:val="000B66FE"/>
    <w:rsid w:val="000B6DF2"/>
    <w:rsid w:val="000B7B70"/>
    <w:rsid w:val="000C1A2B"/>
    <w:rsid w:val="000C2477"/>
    <w:rsid w:val="000C2638"/>
    <w:rsid w:val="000C30EF"/>
    <w:rsid w:val="000C332E"/>
    <w:rsid w:val="000C44DD"/>
    <w:rsid w:val="000C4F75"/>
    <w:rsid w:val="000C5F08"/>
    <w:rsid w:val="000C6520"/>
    <w:rsid w:val="000C67D9"/>
    <w:rsid w:val="000C6A0C"/>
    <w:rsid w:val="000C72D0"/>
    <w:rsid w:val="000C79BF"/>
    <w:rsid w:val="000C7EBB"/>
    <w:rsid w:val="000D00B5"/>
    <w:rsid w:val="000D1496"/>
    <w:rsid w:val="000D3206"/>
    <w:rsid w:val="000D3568"/>
    <w:rsid w:val="000D41CC"/>
    <w:rsid w:val="000D4A83"/>
    <w:rsid w:val="000D4B55"/>
    <w:rsid w:val="000D548C"/>
    <w:rsid w:val="000D5591"/>
    <w:rsid w:val="000D66B0"/>
    <w:rsid w:val="000D6706"/>
    <w:rsid w:val="000D6AFF"/>
    <w:rsid w:val="000D6CB7"/>
    <w:rsid w:val="000D706C"/>
    <w:rsid w:val="000D7090"/>
    <w:rsid w:val="000D73CE"/>
    <w:rsid w:val="000D757A"/>
    <w:rsid w:val="000D7E68"/>
    <w:rsid w:val="000E0AB8"/>
    <w:rsid w:val="000E1473"/>
    <w:rsid w:val="000E1A24"/>
    <w:rsid w:val="000E3321"/>
    <w:rsid w:val="000E3AD8"/>
    <w:rsid w:val="000E4A28"/>
    <w:rsid w:val="000E4C10"/>
    <w:rsid w:val="000E5413"/>
    <w:rsid w:val="000E6BB1"/>
    <w:rsid w:val="000E6F3C"/>
    <w:rsid w:val="000E71AC"/>
    <w:rsid w:val="000F0141"/>
    <w:rsid w:val="000F104A"/>
    <w:rsid w:val="000F19C1"/>
    <w:rsid w:val="000F1D79"/>
    <w:rsid w:val="000F1E2F"/>
    <w:rsid w:val="000F21BB"/>
    <w:rsid w:val="000F248D"/>
    <w:rsid w:val="000F24F4"/>
    <w:rsid w:val="000F2503"/>
    <w:rsid w:val="000F316F"/>
    <w:rsid w:val="000F38B8"/>
    <w:rsid w:val="000F3C89"/>
    <w:rsid w:val="000F4B94"/>
    <w:rsid w:val="000F4E79"/>
    <w:rsid w:val="000F540F"/>
    <w:rsid w:val="000F6AF6"/>
    <w:rsid w:val="000F7864"/>
    <w:rsid w:val="0010003E"/>
    <w:rsid w:val="00100040"/>
    <w:rsid w:val="001003A8"/>
    <w:rsid w:val="00100528"/>
    <w:rsid w:val="00100836"/>
    <w:rsid w:val="0010098D"/>
    <w:rsid w:val="00101210"/>
    <w:rsid w:val="00101426"/>
    <w:rsid w:val="001015C3"/>
    <w:rsid w:val="00102019"/>
    <w:rsid w:val="00102046"/>
    <w:rsid w:val="0010210F"/>
    <w:rsid w:val="0010213D"/>
    <w:rsid w:val="00102B84"/>
    <w:rsid w:val="001035B8"/>
    <w:rsid w:val="001035FF"/>
    <w:rsid w:val="001046E3"/>
    <w:rsid w:val="00104A5C"/>
    <w:rsid w:val="00104A6B"/>
    <w:rsid w:val="0010507D"/>
    <w:rsid w:val="00105677"/>
    <w:rsid w:val="00105D1D"/>
    <w:rsid w:val="00106199"/>
    <w:rsid w:val="001062B0"/>
    <w:rsid w:val="001067BC"/>
    <w:rsid w:val="00106C67"/>
    <w:rsid w:val="00106D17"/>
    <w:rsid w:val="00106F13"/>
    <w:rsid w:val="00110765"/>
    <w:rsid w:val="00110A5C"/>
    <w:rsid w:val="00110B91"/>
    <w:rsid w:val="00110E48"/>
    <w:rsid w:val="00111661"/>
    <w:rsid w:val="00111BD1"/>
    <w:rsid w:val="00112856"/>
    <w:rsid w:val="00112ACF"/>
    <w:rsid w:val="001138D7"/>
    <w:rsid w:val="00113BA1"/>
    <w:rsid w:val="00113C28"/>
    <w:rsid w:val="00113DFE"/>
    <w:rsid w:val="00114B37"/>
    <w:rsid w:val="00115726"/>
    <w:rsid w:val="001157A3"/>
    <w:rsid w:val="00115A19"/>
    <w:rsid w:val="00115A8C"/>
    <w:rsid w:val="00115EFC"/>
    <w:rsid w:val="00116184"/>
    <w:rsid w:val="00116485"/>
    <w:rsid w:val="00116B5C"/>
    <w:rsid w:val="00116F3D"/>
    <w:rsid w:val="001172AF"/>
    <w:rsid w:val="0011755E"/>
    <w:rsid w:val="00117656"/>
    <w:rsid w:val="00117753"/>
    <w:rsid w:val="00117BA7"/>
    <w:rsid w:val="001210CC"/>
    <w:rsid w:val="00121159"/>
    <w:rsid w:val="0012216D"/>
    <w:rsid w:val="00122908"/>
    <w:rsid w:val="00123958"/>
    <w:rsid w:val="00123B43"/>
    <w:rsid w:val="00123F2F"/>
    <w:rsid w:val="00125871"/>
    <w:rsid w:val="00125FCC"/>
    <w:rsid w:val="00126287"/>
    <w:rsid w:val="00127819"/>
    <w:rsid w:val="00130347"/>
    <w:rsid w:val="00130616"/>
    <w:rsid w:val="00130BEA"/>
    <w:rsid w:val="0013260B"/>
    <w:rsid w:val="001341C0"/>
    <w:rsid w:val="00134769"/>
    <w:rsid w:val="00135447"/>
    <w:rsid w:val="00135B54"/>
    <w:rsid w:val="00135FB2"/>
    <w:rsid w:val="00136B1B"/>
    <w:rsid w:val="00136B50"/>
    <w:rsid w:val="00136E66"/>
    <w:rsid w:val="0013770F"/>
    <w:rsid w:val="00137E72"/>
    <w:rsid w:val="001406C3"/>
    <w:rsid w:val="00141326"/>
    <w:rsid w:val="001422E4"/>
    <w:rsid w:val="00142343"/>
    <w:rsid w:val="0014290F"/>
    <w:rsid w:val="0014298F"/>
    <w:rsid w:val="00143397"/>
    <w:rsid w:val="00143B47"/>
    <w:rsid w:val="00144730"/>
    <w:rsid w:val="00145720"/>
    <w:rsid w:val="001463DA"/>
    <w:rsid w:val="00146C42"/>
    <w:rsid w:val="00147281"/>
    <w:rsid w:val="0014761B"/>
    <w:rsid w:val="00147827"/>
    <w:rsid w:val="00147971"/>
    <w:rsid w:val="00147F10"/>
    <w:rsid w:val="00147F5C"/>
    <w:rsid w:val="00150840"/>
    <w:rsid w:val="0015157C"/>
    <w:rsid w:val="00151B10"/>
    <w:rsid w:val="00151E1C"/>
    <w:rsid w:val="001523C2"/>
    <w:rsid w:val="00152B03"/>
    <w:rsid w:val="00152B86"/>
    <w:rsid w:val="00152D31"/>
    <w:rsid w:val="00153D8D"/>
    <w:rsid w:val="00153DB9"/>
    <w:rsid w:val="001540BE"/>
    <w:rsid w:val="00154808"/>
    <w:rsid w:val="00155874"/>
    <w:rsid w:val="00155C8B"/>
    <w:rsid w:val="0015602B"/>
    <w:rsid w:val="00156578"/>
    <w:rsid w:val="00156601"/>
    <w:rsid w:val="00156668"/>
    <w:rsid w:val="001572BE"/>
    <w:rsid w:val="001606A6"/>
    <w:rsid w:val="0016124E"/>
    <w:rsid w:val="001618D5"/>
    <w:rsid w:val="00161D71"/>
    <w:rsid w:val="00162EC1"/>
    <w:rsid w:val="00164001"/>
    <w:rsid w:val="00164FE2"/>
    <w:rsid w:val="001653F1"/>
    <w:rsid w:val="00165D09"/>
    <w:rsid w:val="001667D2"/>
    <w:rsid w:val="001667F3"/>
    <w:rsid w:val="00166908"/>
    <w:rsid w:val="00166BDB"/>
    <w:rsid w:val="0016762E"/>
    <w:rsid w:val="00171324"/>
    <w:rsid w:val="00171A52"/>
    <w:rsid w:val="00171B99"/>
    <w:rsid w:val="00172885"/>
    <w:rsid w:val="00172C75"/>
    <w:rsid w:val="001737F9"/>
    <w:rsid w:val="00173A0B"/>
    <w:rsid w:val="00173DB3"/>
    <w:rsid w:val="0017453D"/>
    <w:rsid w:val="00174D9A"/>
    <w:rsid w:val="001752FC"/>
    <w:rsid w:val="00175323"/>
    <w:rsid w:val="00176071"/>
    <w:rsid w:val="0017620C"/>
    <w:rsid w:val="001762FB"/>
    <w:rsid w:val="0017659D"/>
    <w:rsid w:val="00176A45"/>
    <w:rsid w:val="00177A0A"/>
    <w:rsid w:val="00180A8A"/>
    <w:rsid w:val="00181AF2"/>
    <w:rsid w:val="00181B0A"/>
    <w:rsid w:val="00181E35"/>
    <w:rsid w:val="001826DA"/>
    <w:rsid w:val="00182AE4"/>
    <w:rsid w:val="001830B8"/>
    <w:rsid w:val="0018472E"/>
    <w:rsid w:val="00184854"/>
    <w:rsid w:val="00185407"/>
    <w:rsid w:val="001864A2"/>
    <w:rsid w:val="001867E2"/>
    <w:rsid w:val="00186B60"/>
    <w:rsid w:val="00186BF8"/>
    <w:rsid w:val="0018731D"/>
    <w:rsid w:val="00187455"/>
    <w:rsid w:val="00190356"/>
    <w:rsid w:val="001906E4"/>
    <w:rsid w:val="00190CE3"/>
    <w:rsid w:val="00190DB7"/>
    <w:rsid w:val="00191575"/>
    <w:rsid w:val="00191962"/>
    <w:rsid w:val="0019224E"/>
    <w:rsid w:val="00192C8E"/>
    <w:rsid w:val="00193AA5"/>
    <w:rsid w:val="00193BE8"/>
    <w:rsid w:val="001941F7"/>
    <w:rsid w:val="00194459"/>
    <w:rsid w:val="001949E8"/>
    <w:rsid w:val="00194FBD"/>
    <w:rsid w:val="0019519D"/>
    <w:rsid w:val="0019525A"/>
    <w:rsid w:val="00195631"/>
    <w:rsid w:val="00195649"/>
    <w:rsid w:val="00195E86"/>
    <w:rsid w:val="00196790"/>
    <w:rsid w:val="00197275"/>
    <w:rsid w:val="0019768F"/>
    <w:rsid w:val="001978D9"/>
    <w:rsid w:val="00197C89"/>
    <w:rsid w:val="001A1656"/>
    <w:rsid w:val="001A2FB9"/>
    <w:rsid w:val="001A31F4"/>
    <w:rsid w:val="001A44D3"/>
    <w:rsid w:val="001A5497"/>
    <w:rsid w:val="001A56A9"/>
    <w:rsid w:val="001A57E6"/>
    <w:rsid w:val="001A57FD"/>
    <w:rsid w:val="001A5B47"/>
    <w:rsid w:val="001A609E"/>
    <w:rsid w:val="001A725D"/>
    <w:rsid w:val="001A7BB0"/>
    <w:rsid w:val="001B09F4"/>
    <w:rsid w:val="001B0AB6"/>
    <w:rsid w:val="001B107B"/>
    <w:rsid w:val="001B1246"/>
    <w:rsid w:val="001B16C8"/>
    <w:rsid w:val="001B1B6F"/>
    <w:rsid w:val="001B1CC1"/>
    <w:rsid w:val="001B1F1B"/>
    <w:rsid w:val="001B2AAA"/>
    <w:rsid w:val="001B2D37"/>
    <w:rsid w:val="001B334F"/>
    <w:rsid w:val="001B3A34"/>
    <w:rsid w:val="001B4277"/>
    <w:rsid w:val="001B4835"/>
    <w:rsid w:val="001B4A3B"/>
    <w:rsid w:val="001B4BFC"/>
    <w:rsid w:val="001B4E71"/>
    <w:rsid w:val="001B5136"/>
    <w:rsid w:val="001B52E0"/>
    <w:rsid w:val="001B59EA"/>
    <w:rsid w:val="001B70C3"/>
    <w:rsid w:val="001B734A"/>
    <w:rsid w:val="001B7B7A"/>
    <w:rsid w:val="001C1031"/>
    <w:rsid w:val="001C1555"/>
    <w:rsid w:val="001C1667"/>
    <w:rsid w:val="001C16F8"/>
    <w:rsid w:val="001C1CB4"/>
    <w:rsid w:val="001C1D92"/>
    <w:rsid w:val="001C202A"/>
    <w:rsid w:val="001C239A"/>
    <w:rsid w:val="001C245A"/>
    <w:rsid w:val="001C2BF8"/>
    <w:rsid w:val="001C344E"/>
    <w:rsid w:val="001C3C24"/>
    <w:rsid w:val="001C49BE"/>
    <w:rsid w:val="001C510F"/>
    <w:rsid w:val="001C5408"/>
    <w:rsid w:val="001C5778"/>
    <w:rsid w:val="001C57EC"/>
    <w:rsid w:val="001C59A3"/>
    <w:rsid w:val="001C6069"/>
    <w:rsid w:val="001C65A5"/>
    <w:rsid w:val="001C6F49"/>
    <w:rsid w:val="001C6FFB"/>
    <w:rsid w:val="001C74DE"/>
    <w:rsid w:val="001D02DD"/>
    <w:rsid w:val="001D05E0"/>
    <w:rsid w:val="001D093C"/>
    <w:rsid w:val="001D1796"/>
    <w:rsid w:val="001D207F"/>
    <w:rsid w:val="001D2E07"/>
    <w:rsid w:val="001D2F7A"/>
    <w:rsid w:val="001D3705"/>
    <w:rsid w:val="001D3DCE"/>
    <w:rsid w:val="001D3DFE"/>
    <w:rsid w:val="001D3E06"/>
    <w:rsid w:val="001D3E1B"/>
    <w:rsid w:val="001D41D8"/>
    <w:rsid w:val="001D51A7"/>
    <w:rsid w:val="001D5AC3"/>
    <w:rsid w:val="001D6510"/>
    <w:rsid w:val="001D6723"/>
    <w:rsid w:val="001D6881"/>
    <w:rsid w:val="001D6B42"/>
    <w:rsid w:val="001D7A0E"/>
    <w:rsid w:val="001D7D70"/>
    <w:rsid w:val="001E071C"/>
    <w:rsid w:val="001E1158"/>
    <w:rsid w:val="001E28E5"/>
    <w:rsid w:val="001E2DA8"/>
    <w:rsid w:val="001E32C8"/>
    <w:rsid w:val="001E3476"/>
    <w:rsid w:val="001E3808"/>
    <w:rsid w:val="001E385D"/>
    <w:rsid w:val="001E3FC6"/>
    <w:rsid w:val="001E4483"/>
    <w:rsid w:val="001E472C"/>
    <w:rsid w:val="001E4AC1"/>
    <w:rsid w:val="001E4F4B"/>
    <w:rsid w:val="001E54F9"/>
    <w:rsid w:val="001E5BC0"/>
    <w:rsid w:val="001F0637"/>
    <w:rsid w:val="001F0A3B"/>
    <w:rsid w:val="001F0B3B"/>
    <w:rsid w:val="001F1358"/>
    <w:rsid w:val="001F16B5"/>
    <w:rsid w:val="001F1774"/>
    <w:rsid w:val="001F330E"/>
    <w:rsid w:val="001F3378"/>
    <w:rsid w:val="001F37FF"/>
    <w:rsid w:val="001F397C"/>
    <w:rsid w:val="001F452F"/>
    <w:rsid w:val="001F4555"/>
    <w:rsid w:val="001F4765"/>
    <w:rsid w:val="001F4A21"/>
    <w:rsid w:val="001F4F42"/>
    <w:rsid w:val="001F69D9"/>
    <w:rsid w:val="001F6AD8"/>
    <w:rsid w:val="001F6AF7"/>
    <w:rsid w:val="001F78FE"/>
    <w:rsid w:val="001F7955"/>
    <w:rsid w:val="00201298"/>
    <w:rsid w:val="00203719"/>
    <w:rsid w:val="00204495"/>
    <w:rsid w:val="00204741"/>
    <w:rsid w:val="00204D4C"/>
    <w:rsid w:val="0020560A"/>
    <w:rsid w:val="002058EF"/>
    <w:rsid w:val="002068AE"/>
    <w:rsid w:val="00206C6B"/>
    <w:rsid w:val="00206CCE"/>
    <w:rsid w:val="00206F27"/>
    <w:rsid w:val="00206F5D"/>
    <w:rsid w:val="002078C9"/>
    <w:rsid w:val="00207940"/>
    <w:rsid w:val="00207C82"/>
    <w:rsid w:val="00207E2A"/>
    <w:rsid w:val="00210213"/>
    <w:rsid w:val="00210EA6"/>
    <w:rsid w:val="00210EC4"/>
    <w:rsid w:val="00210FA6"/>
    <w:rsid w:val="00212207"/>
    <w:rsid w:val="002123F4"/>
    <w:rsid w:val="002128D2"/>
    <w:rsid w:val="00212D01"/>
    <w:rsid w:val="0021314B"/>
    <w:rsid w:val="002131E6"/>
    <w:rsid w:val="00213E05"/>
    <w:rsid w:val="00214116"/>
    <w:rsid w:val="002144DD"/>
    <w:rsid w:val="002147A6"/>
    <w:rsid w:val="002147B4"/>
    <w:rsid w:val="0021494D"/>
    <w:rsid w:val="0021495C"/>
    <w:rsid w:val="002150D3"/>
    <w:rsid w:val="00215585"/>
    <w:rsid w:val="00217BE8"/>
    <w:rsid w:val="00217ECF"/>
    <w:rsid w:val="00220A84"/>
    <w:rsid w:val="00222098"/>
    <w:rsid w:val="002228B5"/>
    <w:rsid w:val="00222D7A"/>
    <w:rsid w:val="002230CF"/>
    <w:rsid w:val="00223AE6"/>
    <w:rsid w:val="00224B2E"/>
    <w:rsid w:val="0022502F"/>
    <w:rsid w:val="00225613"/>
    <w:rsid w:val="002257D7"/>
    <w:rsid w:val="002267B7"/>
    <w:rsid w:val="00226E2E"/>
    <w:rsid w:val="0022766A"/>
    <w:rsid w:val="00227B2D"/>
    <w:rsid w:val="00227ED5"/>
    <w:rsid w:val="00230E74"/>
    <w:rsid w:val="0023143A"/>
    <w:rsid w:val="00232F5E"/>
    <w:rsid w:val="002340B6"/>
    <w:rsid w:val="002347F4"/>
    <w:rsid w:val="00234D17"/>
    <w:rsid w:val="00235418"/>
    <w:rsid w:val="00235B3E"/>
    <w:rsid w:val="00235E23"/>
    <w:rsid w:val="002364AF"/>
    <w:rsid w:val="0023650C"/>
    <w:rsid w:val="00236922"/>
    <w:rsid w:val="00236B08"/>
    <w:rsid w:val="00236B94"/>
    <w:rsid w:val="00237173"/>
    <w:rsid w:val="00237E77"/>
    <w:rsid w:val="0024056D"/>
    <w:rsid w:val="00240889"/>
    <w:rsid w:val="00240E87"/>
    <w:rsid w:val="002415E1"/>
    <w:rsid w:val="00241FC5"/>
    <w:rsid w:val="00242996"/>
    <w:rsid w:val="00243134"/>
    <w:rsid w:val="002432CE"/>
    <w:rsid w:val="00243513"/>
    <w:rsid w:val="00243563"/>
    <w:rsid w:val="0024430F"/>
    <w:rsid w:val="0024466D"/>
    <w:rsid w:val="002448AE"/>
    <w:rsid w:val="0024497D"/>
    <w:rsid w:val="0024608C"/>
    <w:rsid w:val="002471DB"/>
    <w:rsid w:val="00247B56"/>
    <w:rsid w:val="002510E3"/>
    <w:rsid w:val="002523EA"/>
    <w:rsid w:val="00253744"/>
    <w:rsid w:val="00253BD6"/>
    <w:rsid w:val="0025436A"/>
    <w:rsid w:val="00254474"/>
    <w:rsid w:val="00254722"/>
    <w:rsid w:val="00255361"/>
    <w:rsid w:val="00256EFA"/>
    <w:rsid w:val="002573A6"/>
    <w:rsid w:val="00257C0E"/>
    <w:rsid w:val="002609D9"/>
    <w:rsid w:val="00260A7F"/>
    <w:rsid w:val="00260A84"/>
    <w:rsid w:val="0026108D"/>
    <w:rsid w:val="002626A9"/>
    <w:rsid w:val="002630BB"/>
    <w:rsid w:val="0026319E"/>
    <w:rsid w:val="002632A4"/>
    <w:rsid w:val="00263680"/>
    <w:rsid w:val="002640F9"/>
    <w:rsid w:val="00264275"/>
    <w:rsid w:val="00264A2F"/>
    <w:rsid w:val="002653FA"/>
    <w:rsid w:val="00265759"/>
    <w:rsid w:val="00265DA5"/>
    <w:rsid w:val="0026616A"/>
    <w:rsid w:val="0026649F"/>
    <w:rsid w:val="00266E58"/>
    <w:rsid w:val="00267B42"/>
    <w:rsid w:val="0027096A"/>
    <w:rsid w:val="0027128B"/>
    <w:rsid w:val="002716EB"/>
    <w:rsid w:val="002717AF"/>
    <w:rsid w:val="002718BB"/>
    <w:rsid w:val="002722F4"/>
    <w:rsid w:val="002728EF"/>
    <w:rsid w:val="00273C8E"/>
    <w:rsid w:val="002742A1"/>
    <w:rsid w:val="0027437E"/>
    <w:rsid w:val="002746E6"/>
    <w:rsid w:val="00274807"/>
    <w:rsid w:val="00275945"/>
    <w:rsid w:val="00276251"/>
    <w:rsid w:val="00276572"/>
    <w:rsid w:val="00276C3A"/>
    <w:rsid w:val="002778C3"/>
    <w:rsid w:val="00277C2B"/>
    <w:rsid w:val="00277FE4"/>
    <w:rsid w:val="00280204"/>
    <w:rsid w:val="00280335"/>
    <w:rsid w:val="00280342"/>
    <w:rsid w:val="0028050E"/>
    <w:rsid w:val="00281DF5"/>
    <w:rsid w:val="00282259"/>
    <w:rsid w:val="0028405F"/>
    <w:rsid w:val="00284256"/>
    <w:rsid w:val="0028599D"/>
    <w:rsid w:val="00286437"/>
    <w:rsid w:val="00286CE8"/>
    <w:rsid w:val="00287985"/>
    <w:rsid w:val="00287D55"/>
    <w:rsid w:val="00290063"/>
    <w:rsid w:val="00291697"/>
    <w:rsid w:val="00291872"/>
    <w:rsid w:val="0029230D"/>
    <w:rsid w:val="00292AED"/>
    <w:rsid w:val="00293602"/>
    <w:rsid w:val="00293FDA"/>
    <w:rsid w:val="00294204"/>
    <w:rsid w:val="00294672"/>
    <w:rsid w:val="00295728"/>
    <w:rsid w:val="0029584B"/>
    <w:rsid w:val="00295C8B"/>
    <w:rsid w:val="002969D0"/>
    <w:rsid w:val="00297985"/>
    <w:rsid w:val="002A085D"/>
    <w:rsid w:val="002A087F"/>
    <w:rsid w:val="002A175E"/>
    <w:rsid w:val="002A1832"/>
    <w:rsid w:val="002A1AD1"/>
    <w:rsid w:val="002A1FD5"/>
    <w:rsid w:val="002A1FF5"/>
    <w:rsid w:val="002A2848"/>
    <w:rsid w:val="002A32DC"/>
    <w:rsid w:val="002A35ED"/>
    <w:rsid w:val="002A37D9"/>
    <w:rsid w:val="002A3EE8"/>
    <w:rsid w:val="002A46C7"/>
    <w:rsid w:val="002A499A"/>
    <w:rsid w:val="002A4B7F"/>
    <w:rsid w:val="002A56A8"/>
    <w:rsid w:val="002A622A"/>
    <w:rsid w:val="002A7260"/>
    <w:rsid w:val="002A75C2"/>
    <w:rsid w:val="002A7B49"/>
    <w:rsid w:val="002B0843"/>
    <w:rsid w:val="002B0D82"/>
    <w:rsid w:val="002B1741"/>
    <w:rsid w:val="002B1E16"/>
    <w:rsid w:val="002B1F52"/>
    <w:rsid w:val="002B23F9"/>
    <w:rsid w:val="002B2C49"/>
    <w:rsid w:val="002B31C9"/>
    <w:rsid w:val="002B3C50"/>
    <w:rsid w:val="002B44CE"/>
    <w:rsid w:val="002B465A"/>
    <w:rsid w:val="002B4671"/>
    <w:rsid w:val="002B4F9C"/>
    <w:rsid w:val="002B58AC"/>
    <w:rsid w:val="002B59D1"/>
    <w:rsid w:val="002B6761"/>
    <w:rsid w:val="002B6971"/>
    <w:rsid w:val="002B6B00"/>
    <w:rsid w:val="002B6BF1"/>
    <w:rsid w:val="002B6C9D"/>
    <w:rsid w:val="002B72D7"/>
    <w:rsid w:val="002B74D7"/>
    <w:rsid w:val="002B75B9"/>
    <w:rsid w:val="002B78BB"/>
    <w:rsid w:val="002B7CB4"/>
    <w:rsid w:val="002B7D7C"/>
    <w:rsid w:val="002B7E33"/>
    <w:rsid w:val="002C067D"/>
    <w:rsid w:val="002C12F2"/>
    <w:rsid w:val="002C2554"/>
    <w:rsid w:val="002C2CC8"/>
    <w:rsid w:val="002C3093"/>
    <w:rsid w:val="002C3E0C"/>
    <w:rsid w:val="002C3E5D"/>
    <w:rsid w:val="002C3E95"/>
    <w:rsid w:val="002C3EDA"/>
    <w:rsid w:val="002C4A81"/>
    <w:rsid w:val="002C54CF"/>
    <w:rsid w:val="002C611B"/>
    <w:rsid w:val="002C6EAC"/>
    <w:rsid w:val="002C71C1"/>
    <w:rsid w:val="002C7944"/>
    <w:rsid w:val="002C7A70"/>
    <w:rsid w:val="002C7EC6"/>
    <w:rsid w:val="002D035F"/>
    <w:rsid w:val="002D03E2"/>
    <w:rsid w:val="002D04A4"/>
    <w:rsid w:val="002D0E01"/>
    <w:rsid w:val="002D15AA"/>
    <w:rsid w:val="002D173A"/>
    <w:rsid w:val="002D1C8F"/>
    <w:rsid w:val="002D2058"/>
    <w:rsid w:val="002D2434"/>
    <w:rsid w:val="002D28FA"/>
    <w:rsid w:val="002D2DD4"/>
    <w:rsid w:val="002D4C47"/>
    <w:rsid w:val="002D4F39"/>
    <w:rsid w:val="002D5050"/>
    <w:rsid w:val="002D5F4B"/>
    <w:rsid w:val="002D641C"/>
    <w:rsid w:val="002D67DF"/>
    <w:rsid w:val="002D6D53"/>
    <w:rsid w:val="002D709E"/>
    <w:rsid w:val="002E0647"/>
    <w:rsid w:val="002E08DB"/>
    <w:rsid w:val="002E0D18"/>
    <w:rsid w:val="002E1CB1"/>
    <w:rsid w:val="002E2C70"/>
    <w:rsid w:val="002E35FC"/>
    <w:rsid w:val="002E38D0"/>
    <w:rsid w:val="002E4384"/>
    <w:rsid w:val="002E4A94"/>
    <w:rsid w:val="002E54B1"/>
    <w:rsid w:val="002E57F4"/>
    <w:rsid w:val="002E6695"/>
    <w:rsid w:val="002E6DC4"/>
    <w:rsid w:val="002F0540"/>
    <w:rsid w:val="002F0ABC"/>
    <w:rsid w:val="002F0F08"/>
    <w:rsid w:val="002F0FC0"/>
    <w:rsid w:val="002F1BDE"/>
    <w:rsid w:val="002F24A5"/>
    <w:rsid w:val="002F2FA7"/>
    <w:rsid w:val="002F3B4F"/>
    <w:rsid w:val="002F6AA6"/>
    <w:rsid w:val="002F7126"/>
    <w:rsid w:val="002F74C5"/>
    <w:rsid w:val="00301575"/>
    <w:rsid w:val="00301807"/>
    <w:rsid w:val="003018DB"/>
    <w:rsid w:val="00301BC5"/>
    <w:rsid w:val="003025D7"/>
    <w:rsid w:val="0030262E"/>
    <w:rsid w:val="0030271B"/>
    <w:rsid w:val="0030291C"/>
    <w:rsid w:val="00302AB8"/>
    <w:rsid w:val="00302BA6"/>
    <w:rsid w:val="0030346D"/>
    <w:rsid w:val="00303741"/>
    <w:rsid w:val="003037FC"/>
    <w:rsid w:val="00304001"/>
    <w:rsid w:val="00304087"/>
    <w:rsid w:val="0030417D"/>
    <w:rsid w:val="003048BA"/>
    <w:rsid w:val="00304EEF"/>
    <w:rsid w:val="0030534A"/>
    <w:rsid w:val="00305D68"/>
    <w:rsid w:val="00306579"/>
    <w:rsid w:val="003065ED"/>
    <w:rsid w:val="0030686B"/>
    <w:rsid w:val="0030718D"/>
    <w:rsid w:val="00307F9B"/>
    <w:rsid w:val="003104FF"/>
    <w:rsid w:val="00310D15"/>
    <w:rsid w:val="00310D6F"/>
    <w:rsid w:val="00310FE5"/>
    <w:rsid w:val="00311176"/>
    <w:rsid w:val="003117EF"/>
    <w:rsid w:val="00311FF7"/>
    <w:rsid w:val="00312065"/>
    <w:rsid w:val="003128C7"/>
    <w:rsid w:val="00312B8F"/>
    <w:rsid w:val="00312DD2"/>
    <w:rsid w:val="003132F3"/>
    <w:rsid w:val="0031362F"/>
    <w:rsid w:val="00313B82"/>
    <w:rsid w:val="003148C8"/>
    <w:rsid w:val="00314923"/>
    <w:rsid w:val="003149F0"/>
    <w:rsid w:val="00315CCA"/>
    <w:rsid w:val="00315D29"/>
    <w:rsid w:val="00315D50"/>
    <w:rsid w:val="00315E01"/>
    <w:rsid w:val="00315F56"/>
    <w:rsid w:val="0031645B"/>
    <w:rsid w:val="00316813"/>
    <w:rsid w:val="0032021C"/>
    <w:rsid w:val="00321446"/>
    <w:rsid w:val="00322C07"/>
    <w:rsid w:val="00322F99"/>
    <w:rsid w:val="003231B8"/>
    <w:rsid w:val="00323286"/>
    <w:rsid w:val="00323ACA"/>
    <w:rsid w:val="0032468D"/>
    <w:rsid w:val="00324E45"/>
    <w:rsid w:val="00325672"/>
    <w:rsid w:val="0032590D"/>
    <w:rsid w:val="00325D0A"/>
    <w:rsid w:val="0032737D"/>
    <w:rsid w:val="00327DCA"/>
    <w:rsid w:val="00330F97"/>
    <w:rsid w:val="00331A4A"/>
    <w:rsid w:val="00331AE5"/>
    <w:rsid w:val="00331CB5"/>
    <w:rsid w:val="00331CDE"/>
    <w:rsid w:val="00331FEB"/>
    <w:rsid w:val="00332EBE"/>
    <w:rsid w:val="00335154"/>
    <w:rsid w:val="0033564E"/>
    <w:rsid w:val="003356B1"/>
    <w:rsid w:val="00335BCF"/>
    <w:rsid w:val="00336A97"/>
    <w:rsid w:val="00337435"/>
    <w:rsid w:val="003375F3"/>
    <w:rsid w:val="0034137B"/>
    <w:rsid w:val="00341953"/>
    <w:rsid w:val="003419BF"/>
    <w:rsid w:val="00342CB0"/>
    <w:rsid w:val="003433B5"/>
    <w:rsid w:val="003438F0"/>
    <w:rsid w:val="00343D5B"/>
    <w:rsid w:val="00343EAB"/>
    <w:rsid w:val="0034441C"/>
    <w:rsid w:val="00344458"/>
    <w:rsid w:val="00344642"/>
    <w:rsid w:val="0034491F"/>
    <w:rsid w:val="00345364"/>
    <w:rsid w:val="003455AA"/>
    <w:rsid w:val="00345A06"/>
    <w:rsid w:val="003464D3"/>
    <w:rsid w:val="00346504"/>
    <w:rsid w:val="00346661"/>
    <w:rsid w:val="00347947"/>
    <w:rsid w:val="00347C96"/>
    <w:rsid w:val="003500D0"/>
    <w:rsid w:val="003504A5"/>
    <w:rsid w:val="00350862"/>
    <w:rsid w:val="00351DC1"/>
    <w:rsid w:val="00352538"/>
    <w:rsid w:val="00352A6E"/>
    <w:rsid w:val="00352CAA"/>
    <w:rsid w:val="00353E0C"/>
    <w:rsid w:val="00354AB9"/>
    <w:rsid w:val="00355CED"/>
    <w:rsid w:val="00356449"/>
    <w:rsid w:val="00356F94"/>
    <w:rsid w:val="00357172"/>
    <w:rsid w:val="00357345"/>
    <w:rsid w:val="00357AF3"/>
    <w:rsid w:val="0036036E"/>
    <w:rsid w:val="00360A56"/>
    <w:rsid w:val="0036203A"/>
    <w:rsid w:val="00362681"/>
    <w:rsid w:val="00362BFD"/>
    <w:rsid w:val="003631F5"/>
    <w:rsid w:val="003631FD"/>
    <w:rsid w:val="003643AF"/>
    <w:rsid w:val="00364426"/>
    <w:rsid w:val="0036489A"/>
    <w:rsid w:val="00364B45"/>
    <w:rsid w:val="00366085"/>
    <w:rsid w:val="00366582"/>
    <w:rsid w:val="00366CA3"/>
    <w:rsid w:val="0036705B"/>
    <w:rsid w:val="0037171D"/>
    <w:rsid w:val="00371BE1"/>
    <w:rsid w:val="00371C38"/>
    <w:rsid w:val="00371F7C"/>
    <w:rsid w:val="0037210D"/>
    <w:rsid w:val="0037217A"/>
    <w:rsid w:val="0037293C"/>
    <w:rsid w:val="00373759"/>
    <w:rsid w:val="003755D9"/>
    <w:rsid w:val="003759CC"/>
    <w:rsid w:val="00376473"/>
    <w:rsid w:val="00376DC4"/>
    <w:rsid w:val="00377266"/>
    <w:rsid w:val="003773ED"/>
    <w:rsid w:val="00377E84"/>
    <w:rsid w:val="00377EDF"/>
    <w:rsid w:val="0038007C"/>
    <w:rsid w:val="003808A8"/>
    <w:rsid w:val="00381086"/>
    <w:rsid w:val="0038179F"/>
    <w:rsid w:val="003825F9"/>
    <w:rsid w:val="003828F5"/>
    <w:rsid w:val="00382DC9"/>
    <w:rsid w:val="003831A3"/>
    <w:rsid w:val="003833EE"/>
    <w:rsid w:val="00383885"/>
    <w:rsid w:val="00384210"/>
    <w:rsid w:val="00385076"/>
    <w:rsid w:val="00385314"/>
    <w:rsid w:val="00385B9E"/>
    <w:rsid w:val="00385F16"/>
    <w:rsid w:val="00386588"/>
    <w:rsid w:val="0038665B"/>
    <w:rsid w:val="00386F66"/>
    <w:rsid w:val="00387860"/>
    <w:rsid w:val="00391132"/>
    <w:rsid w:val="003913B5"/>
    <w:rsid w:val="00394F92"/>
    <w:rsid w:val="00395291"/>
    <w:rsid w:val="00395898"/>
    <w:rsid w:val="00397388"/>
    <w:rsid w:val="003A032B"/>
    <w:rsid w:val="003A058E"/>
    <w:rsid w:val="003A06A0"/>
    <w:rsid w:val="003A078D"/>
    <w:rsid w:val="003A1559"/>
    <w:rsid w:val="003A155E"/>
    <w:rsid w:val="003A15CA"/>
    <w:rsid w:val="003A1917"/>
    <w:rsid w:val="003A2715"/>
    <w:rsid w:val="003A3593"/>
    <w:rsid w:val="003A3F8C"/>
    <w:rsid w:val="003A57AD"/>
    <w:rsid w:val="003A5978"/>
    <w:rsid w:val="003A5BD8"/>
    <w:rsid w:val="003A6305"/>
    <w:rsid w:val="003A6761"/>
    <w:rsid w:val="003A6CFB"/>
    <w:rsid w:val="003B0807"/>
    <w:rsid w:val="003B0E61"/>
    <w:rsid w:val="003B15A9"/>
    <w:rsid w:val="003B1F6F"/>
    <w:rsid w:val="003B2580"/>
    <w:rsid w:val="003B27B7"/>
    <w:rsid w:val="003B2841"/>
    <w:rsid w:val="003B2E8F"/>
    <w:rsid w:val="003B2EB8"/>
    <w:rsid w:val="003B3DDB"/>
    <w:rsid w:val="003B47CA"/>
    <w:rsid w:val="003B51FC"/>
    <w:rsid w:val="003B5375"/>
    <w:rsid w:val="003B6197"/>
    <w:rsid w:val="003B6ACE"/>
    <w:rsid w:val="003B6DA3"/>
    <w:rsid w:val="003B72D6"/>
    <w:rsid w:val="003B7303"/>
    <w:rsid w:val="003C0169"/>
    <w:rsid w:val="003C1A1C"/>
    <w:rsid w:val="003C1A60"/>
    <w:rsid w:val="003C1BE0"/>
    <w:rsid w:val="003C2117"/>
    <w:rsid w:val="003C2497"/>
    <w:rsid w:val="003C3118"/>
    <w:rsid w:val="003C3EB7"/>
    <w:rsid w:val="003C52A6"/>
    <w:rsid w:val="003C55BF"/>
    <w:rsid w:val="003C56B1"/>
    <w:rsid w:val="003C6ED2"/>
    <w:rsid w:val="003C7508"/>
    <w:rsid w:val="003C78C2"/>
    <w:rsid w:val="003D04ED"/>
    <w:rsid w:val="003D07B0"/>
    <w:rsid w:val="003D1417"/>
    <w:rsid w:val="003D1A4A"/>
    <w:rsid w:val="003D1D14"/>
    <w:rsid w:val="003D225A"/>
    <w:rsid w:val="003D245C"/>
    <w:rsid w:val="003D3540"/>
    <w:rsid w:val="003D3763"/>
    <w:rsid w:val="003D3ADA"/>
    <w:rsid w:val="003D4442"/>
    <w:rsid w:val="003D4CB2"/>
    <w:rsid w:val="003D5054"/>
    <w:rsid w:val="003D5735"/>
    <w:rsid w:val="003D6617"/>
    <w:rsid w:val="003D68B4"/>
    <w:rsid w:val="003D6930"/>
    <w:rsid w:val="003D69D8"/>
    <w:rsid w:val="003D6B3C"/>
    <w:rsid w:val="003D6C8D"/>
    <w:rsid w:val="003D6E38"/>
    <w:rsid w:val="003D75F5"/>
    <w:rsid w:val="003D76EC"/>
    <w:rsid w:val="003D7B77"/>
    <w:rsid w:val="003E05DC"/>
    <w:rsid w:val="003E09C3"/>
    <w:rsid w:val="003E0ABD"/>
    <w:rsid w:val="003E14F8"/>
    <w:rsid w:val="003E1D42"/>
    <w:rsid w:val="003E1E46"/>
    <w:rsid w:val="003E1E79"/>
    <w:rsid w:val="003E1F69"/>
    <w:rsid w:val="003E253F"/>
    <w:rsid w:val="003E254F"/>
    <w:rsid w:val="003E2788"/>
    <w:rsid w:val="003E2D8E"/>
    <w:rsid w:val="003E4A83"/>
    <w:rsid w:val="003E5AE2"/>
    <w:rsid w:val="003E5DE5"/>
    <w:rsid w:val="003E6822"/>
    <w:rsid w:val="003E7115"/>
    <w:rsid w:val="003E738C"/>
    <w:rsid w:val="003F0523"/>
    <w:rsid w:val="003F10B9"/>
    <w:rsid w:val="003F1420"/>
    <w:rsid w:val="003F1490"/>
    <w:rsid w:val="003F1C69"/>
    <w:rsid w:val="003F244E"/>
    <w:rsid w:val="003F2970"/>
    <w:rsid w:val="003F29EA"/>
    <w:rsid w:val="003F2A8C"/>
    <w:rsid w:val="003F3460"/>
    <w:rsid w:val="003F40DB"/>
    <w:rsid w:val="003F476F"/>
    <w:rsid w:val="003F5229"/>
    <w:rsid w:val="003F556A"/>
    <w:rsid w:val="003F6108"/>
    <w:rsid w:val="003F6B48"/>
    <w:rsid w:val="003F7318"/>
    <w:rsid w:val="003F7BAD"/>
    <w:rsid w:val="004007C0"/>
    <w:rsid w:val="00400C0A"/>
    <w:rsid w:val="00401799"/>
    <w:rsid w:val="00402160"/>
    <w:rsid w:val="00402258"/>
    <w:rsid w:val="004025D6"/>
    <w:rsid w:val="00402AC7"/>
    <w:rsid w:val="00403EDA"/>
    <w:rsid w:val="00404C82"/>
    <w:rsid w:val="00404E59"/>
    <w:rsid w:val="0040607A"/>
    <w:rsid w:val="0040649E"/>
    <w:rsid w:val="00406CA5"/>
    <w:rsid w:val="00406D66"/>
    <w:rsid w:val="00407434"/>
    <w:rsid w:val="00407F74"/>
    <w:rsid w:val="004104BB"/>
    <w:rsid w:val="00410B80"/>
    <w:rsid w:val="00412FBD"/>
    <w:rsid w:val="00413572"/>
    <w:rsid w:val="00413C62"/>
    <w:rsid w:val="00414428"/>
    <w:rsid w:val="00414612"/>
    <w:rsid w:val="004146E0"/>
    <w:rsid w:val="00414E9F"/>
    <w:rsid w:val="00415671"/>
    <w:rsid w:val="00416359"/>
    <w:rsid w:val="00416725"/>
    <w:rsid w:val="00416BC3"/>
    <w:rsid w:val="00416DB3"/>
    <w:rsid w:val="00417B6A"/>
    <w:rsid w:val="00420154"/>
    <w:rsid w:val="00420B46"/>
    <w:rsid w:val="00421015"/>
    <w:rsid w:val="00421332"/>
    <w:rsid w:val="00421B08"/>
    <w:rsid w:val="004222A0"/>
    <w:rsid w:val="004228D2"/>
    <w:rsid w:val="00422F22"/>
    <w:rsid w:val="00423200"/>
    <w:rsid w:val="00423373"/>
    <w:rsid w:val="00423581"/>
    <w:rsid w:val="00423B74"/>
    <w:rsid w:val="004242E5"/>
    <w:rsid w:val="00424C46"/>
    <w:rsid w:val="00425364"/>
    <w:rsid w:val="004264E5"/>
    <w:rsid w:val="00427FA4"/>
    <w:rsid w:val="00430506"/>
    <w:rsid w:val="0043064B"/>
    <w:rsid w:val="004307DB"/>
    <w:rsid w:val="00431983"/>
    <w:rsid w:val="00431D56"/>
    <w:rsid w:val="00431E35"/>
    <w:rsid w:val="00432863"/>
    <w:rsid w:val="00432A06"/>
    <w:rsid w:val="00433E31"/>
    <w:rsid w:val="00435150"/>
    <w:rsid w:val="00437365"/>
    <w:rsid w:val="00440755"/>
    <w:rsid w:val="00441181"/>
    <w:rsid w:val="004411B1"/>
    <w:rsid w:val="00441A28"/>
    <w:rsid w:val="00441BAF"/>
    <w:rsid w:val="00441CE0"/>
    <w:rsid w:val="00442051"/>
    <w:rsid w:val="004432C5"/>
    <w:rsid w:val="00443B9B"/>
    <w:rsid w:val="00444015"/>
    <w:rsid w:val="00444132"/>
    <w:rsid w:val="004443ED"/>
    <w:rsid w:val="00444431"/>
    <w:rsid w:val="00444A28"/>
    <w:rsid w:val="00445181"/>
    <w:rsid w:val="004458BC"/>
    <w:rsid w:val="0044674C"/>
    <w:rsid w:val="00446B89"/>
    <w:rsid w:val="00447619"/>
    <w:rsid w:val="004500DC"/>
    <w:rsid w:val="004515E3"/>
    <w:rsid w:val="0045231F"/>
    <w:rsid w:val="00452B1F"/>
    <w:rsid w:val="00452E61"/>
    <w:rsid w:val="00453658"/>
    <w:rsid w:val="0045407C"/>
    <w:rsid w:val="00454C85"/>
    <w:rsid w:val="00454F04"/>
    <w:rsid w:val="00455D92"/>
    <w:rsid w:val="0045657B"/>
    <w:rsid w:val="00456989"/>
    <w:rsid w:val="00456A0C"/>
    <w:rsid w:val="00457984"/>
    <w:rsid w:val="00457DB1"/>
    <w:rsid w:val="0046009D"/>
    <w:rsid w:val="00460C31"/>
    <w:rsid w:val="00461CB8"/>
    <w:rsid w:val="004628C7"/>
    <w:rsid w:val="00462C9A"/>
    <w:rsid w:val="00462D1A"/>
    <w:rsid w:val="004636B9"/>
    <w:rsid w:val="00463711"/>
    <w:rsid w:val="00463A06"/>
    <w:rsid w:val="00463EBA"/>
    <w:rsid w:val="0046436D"/>
    <w:rsid w:val="00464948"/>
    <w:rsid w:val="00465B43"/>
    <w:rsid w:val="00465CF1"/>
    <w:rsid w:val="00465E2B"/>
    <w:rsid w:val="00466785"/>
    <w:rsid w:val="004668FF"/>
    <w:rsid w:val="0046699C"/>
    <w:rsid w:val="00467322"/>
    <w:rsid w:val="0046743C"/>
    <w:rsid w:val="00467989"/>
    <w:rsid w:val="00467FCC"/>
    <w:rsid w:val="004708D4"/>
    <w:rsid w:val="00470B62"/>
    <w:rsid w:val="00471469"/>
    <w:rsid w:val="0047219D"/>
    <w:rsid w:val="00472B6F"/>
    <w:rsid w:val="004736DE"/>
    <w:rsid w:val="00474702"/>
    <w:rsid w:val="00474A27"/>
    <w:rsid w:val="00475133"/>
    <w:rsid w:val="0047526B"/>
    <w:rsid w:val="00475E05"/>
    <w:rsid w:val="00476586"/>
    <w:rsid w:val="0047764B"/>
    <w:rsid w:val="00480CAC"/>
    <w:rsid w:val="00480E1F"/>
    <w:rsid w:val="00480F5E"/>
    <w:rsid w:val="004812D1"/>
    <w:rsid w:val="004813C0"/>
    <w:rsid w:val="00481C08"/>
    <w:rsid w:val="00481C2E"/>
    <w:rsid w:val="00481EDC"/>
    <w:rsid w:val="00482396"/>
    <w:rsid w:val="004835F9"/>
    <w:rsid w:val="004837B2"/>
    <w:rsid w:val="004839F7"/>
    <w:rsid w:val="004840E3"/>
    <w:rsid w:val="00484CF5"/>
    <w:rsid w:val="00484DA3"/>
    <w:rsid w:val="00484F08"/>
    <w:rsid w:val="00484F88"/>
    <w:rsid w:val="0048554D"/>
    <w:rsid w:val="004858FE"/>
    <w:rsid w:val="00485A8B"/>
    <w:rsid w:val="004868C2"/>
    <w:rsid w:val="004869C6"/>
    <w:rsid w:val="00487B27"/>
    <w:rsid w:val="00487BC0"/>
    <w:rsid w:val="004904FF"/>
    <w:rsid w:val="00490839"/>
    <w:rsid w:val="004913A5"/>
    <w:rsid w:val="004915AA"/>
    <w:rsid w:val="004918DC"/>
    <w:rsid w:val="0049229C"/>
    <w:rsid w:val="004925F6"/>
    <w:rsid w:val="00492684"/>
    <w:rsid w:val="00492B1E"/>
    <w:rsid w:val="00492F08"/>
    <w:rsid w:val="0049333D"/>
    <w:rsid w:val="00493E82"/>
    <w:rsid w:val="00493F8C"/>
    <w:rsid w:val="00494C50"/>
    <w:rsid w:val="00494CC0"/>
    <w:rsid w:val="00494DC5"/>
    <w:rsid w:val="00495058"/>
    <w:rsid w:val="0049507D"/>
    <w:rsid w:val="00495D3B"/>
    <w:rsid w:val="00496001"/>
    <w:rsid w:val="0049610D"/>
    <w:rsid w:val="00496B58"/>
    <w:rsid w:val="004979E4"/>
    <w:rsid w:val="00497ADF"/>
    <w:rsid w:val="004A1A99"/>
    <w:rsid w:val="004A24B4"/>
    <w:rsid w:val="004A346B"/>
    <w:rsid w:val="004A38A8"/>
    <w:rsid w:val="004A3DB0"/>
    <w:rsid w:val="004A3E8D"/>
    <w:rsid w:val="004A4171"/>
    <w:rsid w:val="004A66E6"/>
    <w:rsid w:val="004A6A63"/>
    <w:rsid w:val="004A709C"/>
    <w:rsid w:val="004A7168"/>
    <w:rsid w:val="004A7197"/>
    <w:rsid w:val="004A7A2D"/>
    <w:rsid w:val="004A7F7B"/>
    <w:rsid w:val="004B032B"/>
    <w:rsid w:val="004B085E"/>
    <w:rsid w:val="004B16B7"/>
    <w:rsid w:val="004B18AB"/>
    <w:rsid w:val="004B18BB"/>
    <w:rsid w:val="004B1FE7"/>
    <w:rsid w:val="004B2593"/>
    <w:rsid w:val="004B25FB"/>
    <w:rsid w:val="004B29D1"/>
    <w:rsid w:val="004B308C"/>
    <w:rsid w:val="004B360B"/>
    <w:rsid w:val="004B48C0"/>
    <w:rsid w:val="004B4BF4"/>
    <w:rsid w:val="004B5168"/>
    <w:rsid w:val="004B58E2"/>
    <w:rsid w:val="004B5A9A"/>
    <w:rsid w:val="004B7309"/>
    <w:rsid w:val="004B778E"/>
    <w:rsid w:val="004B77F8"/>
    <w:rsid w:val="004B7902"/>
    <w:rsid w:val="004C04EF"/>
    <w:rsid w:val="004C061E"/>
    <w:rsid w:val="004C08BF"/>
    <w:rsid w:val="004C13FA"/>
    <w:rsid w:val="004C163B"/>
    <w:rsid w:val="004C1F37"/>
    <w:rsid w:val="004C225B"/>
    <w:rsid w:val="004C2416"/>
    <w:rsid w:val="004C2FA0"/>
    <w:rsid w:val="004C373D"/>
    <w:rsid w:val="004C3929"/>
    <w:rsid w:val="004C3B60"/>
    <w:rsid w:val="004C56AB"/>
    <w:rsid w:val="004C69BD"/>
    <w:rsid w:val="004C6C01"/>
    <w:rsid w:val="004C6D79"/>
    <w:rsid w:val="004C70A0"/>
    <w:rsid w:val="004C7707"/>
    <w:rsid w:val="004C7AEC"/>
    <w:rsid w:val="004C7B97"/>
    <w:rsid w:val="004D1450"/>
    <w:rsid w:val="004D16C8"/>
    <w:rsid w:val="004D191C"/>
    <w:rsid w:val="004D1C25"/>
    <w:rsid w:val="004D1E77"/>
    <w:rsid w:val="004D1F83"/>
    <w:rsid w:val="004D376B"/>
    <w:rsid w:val="004D3C06"/>
    <w:rsid w:val="004D409C"/>
    <w:rsid w:val="004D4447"/>
    <w:rsid w:val="004D4C7B"/>
    <w:rsid w:val="004D4EA4"/>
    <w:rsid w:val="004D515E"/>
    <w:rsid w:val="004D5BAB"/>
    <w:rsid w:val="004D7A60"/>
    <w:rsid w:val="004D7DC6"/>
    <w:rsid w:val="004E0135"/>
    <w:rsid w:val="004E05EC"/>
    <w:rsid w:val="004E0EEA"/>
    <w:rsid w:val="004E21AF"/>
    <w:rsid w:val="004E2443"/>
    <w:rsid w:val="004E3859"/>
    <w:rsid w:val="004E385E"/>
    <w:rsid w:val="004E3B94"/>
    <w:rsid w:val="004E3D9D"/>
    <w:rsid w:val="004E4450"/>
    <w:rsid w:val="004E4F05"/>
    <w:rsid w:val="004E5F63"/>
    <w:rsid w:val="004E610B"/>
    <w:rsid w:val="004E6421"/>
    <w:rsid w:val="004E7227"/>
    <w:rsid w:val="004E78FD"/>
    <w:rsid w:val="004E7BD1"/>
    <w:rsid w:val="004F0287"/>
    <w:rsid w:val="004F02A7"/>
    <w:rsid w:val="004F07EB"/>
    <w:rsid w:val="004F1197"/>
    <w:rsid w:val="004F1654"/>
    <w:rsid w:val="004F210C"/>
    <w:rsid w:val="004F3D7B"/>
    <w:rsid w:val="004F4562"/>
    <w:rsid w:val="004F564C"/>
    <w:rsid w:val="004F68B9"/>
    <w:rsid w:val="004F6E63"/>
    <w:rsid w:val="004F7114"/>
    <w:rsid w:val="004F7D25"/>
    <w:rsid w:val="00501699"/>
    <w:rsid w:val="00501E97"/>
    <w:rsid w:val="0050312A"/>
    <w:rsid w:val="00503428"/>
    <w:rsid w:val="00503BB6"/>
    <w:rsid w:val="00503DC3"/>
    <w:rsid w:val="00503E68"/>
    <w:rsid w:val="005040D4"/>
    <w:rsid w:val="00504770"/>
    <w:rsid w:val="0050495D"/>
    <w:rsid w:val="00504D07"/>
    <w:rsid w:val="00504D67"/>
    <w:rsid w:val="00505320"/>
    <w:rsid w:val="00505C98"/>
    <w:rsid w:val="005076B2"/>
    <w:rsid w:val="00507CD0"/>
    <w:rsid w:val="005105C0"/>
    <w:rsid w:val="00510C06"/>
    <w:rsid w:val="00510CE2"/>
    <w:rsid w:val="00510F5D"/>
    <w:rsid w:val="00512013"/>
    <w:rsid w:val="00512B87"/>
    <w:rsid w:val="005146AB"/>
    <w:rsid w:val="00514777"/>
    <w:rsid w:val="00514FB8"/>
    <w:rsid w:val="0051588B"/>
    <w:rsid w:val="00515962"/>
    <w:rsid w:val="00515D35"/>
    <w:rsid w:val="00516174"/>
    <w:rsid w:val="0051653B"/>
    <w:rsid w:val="00517586"/>
    <w:rsid w:val="0052058C"/>
    <w:rsid w:val="00520C4E"/>
    <w:rsid w:val="005214AE"/>
    <w:rsid w:val="0052185F"/>
    <w:rsid w:val="00521B7D"/>
    <w:rsid w:val="00522300"/>
    <w:rsid w:val="00522490"/>
    <w:rsid w:val="0052318E"/>
    <w:rsid w:val="005235A0"/>
    <w:rsid w:val="005235C9"/>
    <w:rsid w:val="0052366E"/>
    <w:rsid w:val="00523BA5"/>
    <w:rsid w:val="00523C01"/>
    <w:rsid w:val="0052442A"/>
    <w:rsid w:val="00524D5A"/>
    <w:rsid w:val="005250FC"/>
    <w:rsid w:val="0052659C"/>
    <w:rsid w:val="00526727"/>
    <w:rsid w:val="00526A81"/>
    <w:rsid w:val="00526B44"/>
    <w:rsid w:val="00526D48"/>
    <w:rsid w:val="00527E84"/>
    <w:rsid w:val="00530D29"/>
    <w:rsid w:val="0053106C"/>
    <w:rsid w:val="005320B2"/>
    <w:rsid w:val="00534227"/>
    <w:rsid w:val="00534DB6"/>
    <w:rsid w:val="005354E5"/>
    <w:rsid w:val="005379DC"/>
    <w:rsid w:val="00540B0C"/>
    <w:rsid w:val="00542404"/>
    <w:rsid w:val="0054266C"/>
    <w:rsid w:val="00542E49"/>
    <w:rsid w:val="0054335B"/>
    <w:rsid w:val="00543B38"/>
    <w:rsid w:val="00543BCB"/>
    <w:rsid w:val="00544874"/>
    <w:rsid w:val="00544BC8"/>
    <w:rsid w:val="00544C0B"/>
    <w:rsid w:val="00545896"/>
    <w:rsid w:val="00546448"/>
    <w:rsid w:val="00546D2A"/>
    <w:rsid w:val="00546EC5"/>
    <w:rsid w:val="00547899"/>
    <w:rsid w:val="005478E6"/>
    <w:rsid w:val="00547E01"/>
    <w:rsid w:val="00550C49"/>
    <w:rsid w:val="00551A5B"/>
    <w:rsid w:val="00551AFE"/>
    <w:rsid w:val="00553710"/>
    <w:rsid w:val="005551EE"/>
    <w:rsid w:val="005552A2"/>
    <w:rsid w:val="00555861"/>
    <w:rsid w:val="005558D5"/>
    <w:rsid w:val="00556165"/>
    <w:rsid w:val="0055622A"/>
    <w:rsid w:val="0055633C"/>
    <w:rsid w:val="00556C3B"/>
    <w:rsid w:val="00557426"/>
    <w:rsid w:val="00557700"/>
    <w:rsid w:val="00560E53"/>
    <w:rsid w:val="00561553"/>
    <w:rsid w:val="005618E2"/>
    <w:rsid w:val="00561D05"/>
    <w:rsid w:val="0056223C"/>
    <w:rsid w:val="0056247B"/>
    <w:rsid w:val="00562941"/>
    <w:rsid w:val="00562AE7"/>
    <w:rsid w:val="005632AA"/>
    <w:rsid w:val="005635E0"/>
    <w:rsid w:val="00564599"/>
    <w:rsid w:val="005649A9"/>
    <w:rsid w:val="005650D9"/>
    <w:rsid w:val="00565C2F"/>
    <w:rsid w:val="00566F52"/>
    <w:rsid w:val="005704CE"/>
    <w:rsid w:val="00570828"/>
    <w:rsid w:val="00571999"/>
    <w:rsid w:val="005723F2"/>
    <w:rsid w:val="00572941"/>
    <w:rsid w:val="00572B8E"/>
    <w:rsid w:val="00572DB1"/>
    <w:rsid w:val="00573B65"/>
    <w:rsid w:val="00573C79"/>
    <w:rsid w:val="00574384"/>
    <w:rsid w:val="00575FBB"/>
    <w:rsid w:val="0057674A"/>
    <w:rsid w:val="005770B7"/>
    <w:rsid w:val="0057753C"/>
    <w:rsid w:val="00577676"/>
    <w:rsid w:val="00577E07"/>
    <w:rsid w:val="005808B2"/>
    <w:rsid w:val="005808EB"/>
    <w:rsid w:val="00581154"/>
    <w:rsid w:val="005812B5"/>
    <w:rsid w:val="005823AB"/>
    <w:rsid w:val="005826A0"/>
    <w:rsid w:val="0058317B"/>
    <w:rsid w:val="0058407F"/>
    <w:rsid w:val="005849AF"/>
    <w:rsid w:val="00584CD9"/>
    <w:rsid w:val="0058507E"/>
    <w:rsid w:val="0058545A"/>
    <w:rsid w:val="00585530"/>
    <w:rsid w:val="005855CB"/>
    <w:rsid w:val="00585859"/>
    <w:rsid w:val="00585A06"/>
    <w:rsid w:val="005872D4"/>
    <w:rsid w:val="005875DA"/>
    <w:rsid w:val="0058793E"/>
    <w:rsid w:val="00587957"/>
    <w:rsid w:val="00587C8D"/>
    <w:rsid w:val="00591AA5"/>
    <w:rsid w:val="0059253C"/>
    <w:rsid w:val="0059277F"/>
    <w:rsid w:val="0059317F"/>
    <w:rsid w:val="00593813"/>
    <w:rsid w:val="00594067"/>
    <w:rsid w:val="00594420"/>
    <w:rsid w:val="005948DF"/>
    <w:rsid w:val="00594C85"/>
    <w:rsid w:val="0059504B"/>
    <w:rsid w:val="00595C2A"/>
    <w:rsid w:val="00596220"/>
    <w:rsid w:val="00596B97"/>
    <w:rsid w:val="00596D5A"/>
    <w:rsid w:val="00596E4D"/>
    <w:rsid w:val="00597E01"/>
    <w:rsid w:val="005A03E1"/>
    <w:rsid w:val="005A0C96"/>
    <w:rsid w:val="005A1183"/>
    <w:rsid w:val="005A1BE7"/>
    <w:rsid w:val="005A1E1F"/>
    <w:rsid w:val="005A25A8"/>
    <w:rsid w:val="005A26AB"/>
    <w:rsid w:val="005A2BEF"/>
    <w:rsid w:val="005A2CB7"/>
    <w:rsid w:val="005A3CF5"/>
    <w:rsid w:val="005A44FF"/>
    <w:rsid w:val="005A462F"/>
    <w:rsid w:val="005A4A58"/>
    <w:rsid w:val="005A57EB"/>
    <w:rsid w:val="005A5A1D"/>
    <w:rsid w:val="005A6250"/>
    <w:rsid w:val="005A663A"/>
    <w:rsid w:val="005A6747"/>
    <w:rsid w:val="005A712B"/>
    <w:rsid w:val="005A7252"/>
    <w:rsid w:val="005A7539"/>
    <w:rsid w:val="005A7EF1"/>
    <w:rsid w:val="005A7EF8"/>
    <w:rsid w:val="005B0914"/>
    <w:rsid w:val="005B09F2"/>
    <w:rsid w:val="005B10F2"/>
    <w:rsid w:val="005B1AFD"/>
    <w:rsid w:val="005B1B88"/>
    <w:rsid w:val="005B1F5B"/>
    <w:rsid w:val="005B20E7"/>
    <w:rsid w:val="005B2345"/>
    <w:rsid w:val="005B340B"/>
    <w:rsid w:val="005B3A81"/>
    <w:rsid w:val="005B3C2F"/>
    <w:rsid w:val="005B3C67"/>
    <w:rsid w:val="005B4418"/>
    <w:rsid w:val="005B618C"/>
    <w:rsid w:val="005B6EBA"/>
    <w:rsid w:val="005C032D"/>
    <w:rsid w:val="005C1441"/>
    <w:rsid w:val="005C1F6A"/>
    <w:rsid w:val="005C4461"/>
    <w:rsid w:val="005C448D"/>
    <w:rsid w:val="005C4886"/>
    <w:rsid w:val="005C588F"/>
    <w:rsid w:val="005C6259"/>
    <w:rsid w:val="005C68F4"/>
    <w:rsid w:val="005C6AFF"/>
    <w:rsid w:val="005C7077"/>
    <w:rsid w:val="005C7C3D"/>
    <w:rsid w:val="005D006A"/>
    <w:rsid w:val="005D0451"/>
    <w:rsid w:val="005D0498"/>
    <w:rsid w:val="005D065C"/>
    <w:rsid w:val="005D13EA"/>
    <w:rsid w:val="005D15EE"/>
    <w:rsid w:val="005D1BE3"/>
    <w:rsid w:val="005D2063"/>
    <w:rsid w:val="005D3E0E"/>
    <w:rsid w:val="005D4539"/>
    <w:rsid w:val="005D4A0B"/>
    <w:rsid w:val="005D527B"/>
    <w:rsid w:val="005D5A61"/>
    <w:rsid w:val="005D61EA"/>
    <w:rsid w:val="005D64FA"/>
    <w:rsid w:val="005D6EB2"/>
    <w:rsid w:val="005D7441"/>
    <w:rsid w:val="005D7F3C"/>
    <w:rsid w:val="005E01C5"/>
    <w:rsid w:val="005E0A5E"/>
    <w:rsid w:val="005E1034"/>
    <w:rsid w:val="005E18CC"/>
    <w:rsid w:val="005E2044"/>
    <w:rsid w:val="005E28FF"/>
    <w:rsid w:val="005E3B43"/>
    <w:rsid w:val="005E3DF4"/>
    <w:rsid w:val="005E414E"/>
    <w:rsid w:val="005E537E"/>
    <w:rsid w:val="005E53A5"/>
    <w:rsid w:val="005E54C1"/>
    <w:rsid w:val="005E56B2"/>
    <w:rsid w:val="005E59E1"/>
    <w:rsid w:val="005E5CDD"/>
    <w:rsid w:val="005E6BA7"/>
    <w:rsid w:val="005E7FEC"/>
    <w:rsid w:val="005F0244"/>
    <w:rsid w:val="005F03EC"/>
    <w:rsid w:val="005F060A"/>
    <w:rsid w:val="005F1378"/>
    <w:rsid w:val="005F1613"/>
    <w:rsid w:val="005F17B3"/>
    <w:rsid w:val="005F189B"/>
    <w:rsid w:val="005F227F"/>
    <w:rsid w:val="005F22CF"/>
    <w:rsid w:val="005F2553"/>
    <w:rsid w:val="005F25DC"/>
    <w:rsid w:val="005F28B8"/>
    <w:rsid w:val="005F2BE9"/>
    <w:rsid w:val="005F2F7A"/>
    <w:rsid w:val="005F45CF"/>
    <w:rsid w:val="005F493F"/>
    <w:rsid w:val="005F49E9"/>
    <w:rsid w:val="005F4DC4"/>
    <w:rsid w:val="005F50B1"/>
    <w:rsid w:val="005F5C15"/>
    <w:rsid w:val="005F66EB"/>
    <w:rsid w:val="005F6AD1"/>
    <w:rsid w:val="005F7314"/>
    <w:rsid w:val="005F7758"/>
    <w:rsid w:val="005F7AE1"/>
    <w:rsid w:val="006023E3"/>
    <w:rsid w:val="00602424"/>
    <w:rsid w:val="00602628"/>
    <w:rsid w:val="00603580"/>
    <w:rsid w:val="00605062"/>
    <w:rsid w:val="00605AC4"/>
    <w:rsid w:val="00605C99"/>
    <w:rsid w:val="00606334"/>
    <w:rsid w:val="00606342"/>
    <w:rsid w:val="00607331"/>
    <w:rsid w:val="00610241"/>
    <w:rsid w:val="00610715"/>
    <w:rsid w:val="0061140F"/>
    <w:rsid w:val="0061153F"/>
    <w:rsid w:val="00611DB9"/>
    <w:rsid w:val="00612631"/>
    <w:rsid w:val="00612A9E"/>
    <w:rsid w:val="00612B1B"/>
    <w:rsid w:val="00612E1A"/>
    <w:rsid w:val="00612F7E"/>
    <w:rsid w:val="006130B7"/>
    <w:rsid w:val="006131AF"/>
    <w:rsid w:val="006134D4"/>
    <w:rsid w:val="00613D8F"/>
    <w:rsid w:val="00613EC7"/>
    <w:rsid w:val="006151B3"/>
    <w:rsid w:val="006157FD"/>
    <w:rsid w:val="0061583A"/>
    <w:rsid w:val="00615F29"/>
    <w:rsid w:val="00615F43"/>
    <w:rsid w:val="006167BF"/>
    <w:rsid w:val="00616BDD"/>
    <w:rsid w:val="00620515"/>
    <w:rsid w:val="00620F95"/>
    <w:rsid w:val="006211A1"/>
    <w:rsid w:val="0062180C"/>
    <w:rsid w:val="00622322"/>
    <w:rsid w:val="006235F3"/>
    <w:rsid w:val="00623643"/>
    <w:rsid w:val="006239C6"/>
    <w:rsid w:val="006248D6"/>
    <w:rsid w:val="006248F8"/>
    <w:rsid w:val="00624967"/>
    <w:rsid w:val="00624D76"/>
    <w:rsid w:val="00625D9E"/>
    <w:rsid w:val="006261C9"/>
    <w:rsid w:val="0062704F"/>
    <w:rsid w:val="006270F1"/>
    <w:rsid w:val="006274A3"/>
    <w:rsid w:val="00627961"/>
    <w:rsid w:val="00630AB4"/>
    <w:rsid w:val="00631261"/>
    <w:rsid w:val="0063150A"/>
    <w:rsid w:val="006315AD"/>
    <w:rsid w:val="006334CE"/>
    <w:rsid w:val="006334DC"/>
    <w:rsid w:val="00635552"/>
    <w:rsid w:val="006357B8"/>
    <w:rsid w:val="00635E28"/>
    <w:rsid w:val="00636079"/>
    <w:rsid w:val="00636184"/>
    <w:rsid w:val="00636E7B"/>
    <w:rsid w:val="00636F29"/>
    <w:rsid w:val="00636FAF"/>
    <w:rsid w:val="00640184"/>
    <w:rsid w:val="00640627"/>
    <w:rsid w:val="00642848"/>
    <w:rsid w:val="00643110"/>
    <w:rsid w:val="0064313D"/>
    <w:rsid w:val="006444E2"/>
    <w:rsid w:val="00644A78"/>
    <w:rsid w:val="006455A2"/>
    <w:rsid w:val="0064587C"/>
    <w:rsid w:val="00645ADE"/>
    <w:rsid w:val="00646534"/>
    <w:rsid w:val="006467D5"/>
    <w:rsid w:val="00646E35"/>
    <w:rsid w:val="00646EC4"/>
    <w:rsid w:val="00647AF0"/>
    <w:rsid w:val="00650362"/>
    <w:rsid w:val="006512D0"/>
    <w:rsid w:val="00651551"/>
    <w:rsid w:val="00651C61"/>
    <w:rsid w:val="00652314"/>
    <w:rsid w:val="00652438"/>
    <w:rsid w:val="006525AD"/>
    <w:rsid w:val="006527F7"/>
    <w:rsid w:val="0065308D"/>
    <w:rsid w:val="0065366D"/>
    <w:rsid w:val="00655484"/>
    <w:rsid w:val="00655B68"/>
    <w:rsid w:val="00656840"/>
    <w:rsid w:val="00656CC0"/>
    <w:rsid w:val="00657077"/>
    <w:rsid w:val="006602DD"/>
    <w:rsid w:val="00660347"/>
    <w:rsid w:val="00660A68"/>
    <w:rsid w:val="00660F5A"/>
    <w:rsid w:val="00660FF2"/>
    <w:rsid w:val="00661445"/>
    <w:rsid w:val="00661BFD"/>
    <w:rsid w:val="00662C72"/>
    <w:rsid w:val="0066320B"/>
    <w:rsid w:val="00663F88"/>
    <w:rsid w:val="00663FB7"/>
    <w:rsid w:val="0066496F"/>
    <w:rsid w:val="00664A80"/>
    <w:rsid w:val="00664B94"/>
    <w:rsid w:val="006652F3"/>
    <w:rsid w:val="006656BB"/>
    <w:rsid w:val="00665711"/>
    <w:rsid w:val="00665D12"/>
    <w:rsid w:val="006678C2"/>
    <w:rsid w:val="006679F2"/>
    <w:rsid w:val="006679FB"/>
    <w:rsid w:val="00667C18"/>
    <w:rsid w:val="006704B0"/>
    <w:rsid w:val="006706BD"/>
    <w:rsid w:val="006717B0"/>
    <w:rsid w:val="00671C09"/>
    <w:rsid w:val="00672102"/>
    <w:rsid w:val="00672278"/>
    <w:rsid w:val="00672907"/>
    <w:rsid w:val="0067292A"/>
    <w:rsid w:val="0067426E"/>
    <w:rsid w:val="006742D0"/>
    <w:rsid w:val="00674956"/>
    <w:rsid w:val="00674E86"/>
    <w:rsid w:val="00675292"/>
    <w:rsid w:val="00675430"/>
    <w:rsid w:val="00675791"/>
    <w:rsid w:val="006760A8"/>
    <w:rsid w:val="006760E5"/>
    <w:rsid w:val="00676175"/>
    <w:rsid w:val="00676483"/>
    <w:rsid w:val="00676D38"/>
    <w:rsid w:val="0067722E"/>
    <w:rsid w:val="006775EB"/>
    <w:rsid w:val="00677B79"/>
    <w:rsid w:val="00677F41"/>
    <w:rsid w:val="00680409"/>
    <w:rsid w:val="006809A3"/>
    <w:rsid w:val="00680B00"/>
    <w:rsid w:val="00680C92"/>
    <w:rsid w:val="00680E74"/>
    <w:rsid w:val="0068135D"/>
    <w:rsid w:val="00682B3A"/>
    <w:rsid w:val="00682C0F"/>
    <w:rsid w:val="00682E9F"/>
    <w:rsid w:val="00683297"/>
    <w:rsid w:val="006832CA"/>
    <w:rsid w:val="00683DB6"/>
    <w:rsid w:val="00683F9A"/>
    <w:rsid w:val="00684A7F"/>
    <w:rsid w:val="00685ADC"/>
    <w:rsid w:val="00685AFD"/>
    <w:rsid w:val="00685B39"/>
    <w:rsid w:val="006861D6"/>
    <w:rsid w:val="0068649C"/>
    <w:rsid w:val="00686856"/>
    <w:rsid w:val="00686E2F"/>
    <w:rsid w:val="00687134"/>
    <w:rsid w:val="00687C3E"/>
    <w:rsid w:val="00690EA1"/>
    <w:rsid w:val="006911FD"/>
    <w:rsid w:val="0069253E"/>
    <w:rsid w:val="00692E79"/>
    <w:rsid w:val="00693AE6"/>
    <w:rsid w:val="006955FC"/>
    <w:rsid w:val="00696015"/>
    <w:rsid w:val="00696AC2"/>
    <w:rsid w:val="00697273"/>
    <w:rsid w:val="006972DD"/>
    <w:rsid w:val="006972E6"/>
    <w:rsid w:val="0069768D"/>
    <w:rsid w:val="00697EC0"/>
    <w:rsid w:val="006A02FD"/>
    <w:rsid w:val="006A0433"/>
    <w:rsid w:val="006A0843"/>
    <w:rsid w:val="006A0CD9"/>
    <w:rsid w:val="006A110D"/>
    <w:rsid w:val="006A1339"/>
    <w:rsid w:val="006A13A6"/>
    <w:rsid w:val="006A14AA"/>
    <w:rsid w:val="006A14CC"/>
    <w:rsid w:val="006A1BB2"/>
    <w:rsid w:val="006A1CB9"/>
    <w:rsid w:val="006A2C8E"/>
    <w:rsid w:val="006A3B8D"/>
    <w:rsid w:val="006A3CE6"/>
    <w:rsid w:val="006A43F8"/>
    <w:rsid w:val="006A47EC"/>
    <w:rsid w:val="006A4A11"/>
    <w:rsid w:val="006A4D9F"/>
    <w:rsid w:val="006A502F"/>
    <w:rsid w:val="006A50F1"/>
    <w:rsid w:val="006A68C2"/>
    <w:rsid w:val="006A6CA2"/>
    <w:rsid w:val="006B0775"/>
    <w:rsid w:val="006B1170"/>
    <w:rsid w:val="006B1947"/>
    <w:rsid w:val="006B21C4"/>
    <w:rsid w:val="006B5D28"/>
    <w:rsid w:val="006B6466"/>
    <w:rsid w:val="006B6D70"/>
    <w:rsid w:val="006B6DF1"/>
    <w:rsid w:val="006B6F42"/>
    <w:rsid w:val="006C0003"/>
    <w:rsid w:val="006C0A30"/>
    <w:rsid w:val="006C0C7A"/>
    <w:rsid w:val="006C0CA1"/>
    <w:rsid w:val="006C1035"/>
    <w:rsid w:val="006C10CE"/>
    <w:rsid w:val="006C151A"/>
    <w:rsid w:val="006C1EDA"/>
    <w:rsid w:val="006C2088"/>
    <w:rsid w:val="006C3265"/>
    <w:rsid w:val="006C3713"/>
    <w:rsid w:val="006C3765"/>
    <w:rsid w:val="006C3C4E"/>
    <w:rsid w:val="006C4110"/>
    <w:rsid w:val="006C4726"/>
    <w:rsid w:val="006C557F"/>
    <w:rsid w:val="006C675D"/>
    <w:rsid w:val="006C69FE"/>
    <w:rsid w:val="006C6F32"/>
    <w:rsid w:val="006C700B"/>
    <w:rsid w:val="006C79C7"/>
    <w:rsid w:val="006D0D06"/>
    <w:rsid w:val="006D0D09"/>
    <w:rsid w:val="006D0F5E"/>
    <w:rsid w:val="006D0F9F"/>
    <w:rsid w:val="006D104A"/>
    <w:rsid w:val="006D10C1"/>
    <w:rsid w:val="006D1FBC"/>
    <w:rsid w:val="006D2E4F"/>
    <w:rsid w:val="006D3D6B"/>
    <w:rsid w:val="006D3F8F"/>
    <w:rsid w:val="006D4BBA"/>
    <w:rsid w:val="006D57B7"/>
    <w:rsid w:val="006D645E"/>
    <w:rsid w:val="006D6927"/>
    <w:rsid w:val="006D6A82"/>
    <w:rsid w:val="006D6B70"/>
    <w:rsid w:val="006D74B0"/>
    <w:rsid w:val="006D7697"/>
    <w:rsid w:val="006E0B27"/>
    <w:rsid w:val="006E0E01"/>
    <w:rsid w:val="006E1407"/>
    <w:rsid w:val="006E15B2"/>
    <w:rsid w:val="006E2662"/>
    <w:rsid w:val="006E3A8A"/>
    <w:rsid w:val="006E3B80"/>
    <w:rsid w:val="006E3F19"/>
    <w:rsid w:val="006E449A"/>
    <w:rsid w:val="006E4833"/>
    <w:rsid w:val="006E5CCC"/>
    <w:rsid w:val="006E6DFD"/>
    <w:rsid w:val="006E70EE"/>
    <w:rsid w:val="006E74E9"/>
    <w:rsid w:val="006E7BF9"/>
    <w:rsid w:val="006E7FB3"/>
    <w:rsid w:val="006F0457"/>
    <w:rsid w:val="006F0E42"/>
    <w:rsid w:val="006F0E8F"/>
    <w:rsid w:val="006F0F8E"/>
    <w:rsid w:val="006F20D0"/>
    <w:rsid w:val="006F22A0"/>
    <w:rsid w:val="006F24D7"/>
    <w:rsid w:val="006F3349"/>
    <w:rsid w:val="006F3779"/>
    <w:rsid w:val="006F3C4B"/>
    <w:rsid w:val="006F3E81"/>
    <w:rsid w:val="006F4454"/>
    <w:rsid w:val="006F62B5"/>
    <w:rsid w:val="006F66E4"/>
    <w:rsid w:val="006F6E1D"/>
    <w:rsid w:val="006F789A"/>
    <w:rsid w:val="006F7CEB"/>
    <w:rsid w:val="007002C5"/>
    <w:rsid w:val="00700645"/>
    <w:rsid w:val="0070064C"/>
    <w:rsid w:val="00700DFA"/>
    <w:rsid w:val="007010AF"/>
    <w:rsid w:val="007014C3"/>
    <w:rsid w:val="00701982"/>
    <w:rsid w:val="00703518"/>
    <w:rsid w:val="0070354E"/>
    <w:rsid w:val="00703779"/>
    <w:rsid w:val="007038F8"/>
    <w:rsid w:val="00703CBD"/>
    <w:rsid w:val="00703ED1"/>
    <w:rsid w:val="00704DFC"/>
    <w:rsid w:val="00704E87"/>
    <w:rsid w:val="00705BF2"/>
    <w:rsid w:val="00705DA6"/>
    <w:rsid w:val="00705E77"/>
    <w:rsid w:val="00705E92"/>
    <w:rsid w:val="00711D32"/>
    <w:rsid w:val="00711D68"/>
    <w:rsid w:val="00711DF8"/>
    <w:rsid w:val="00712332"/>
    <w:rsid w:val="00712A23"/>
    <w:rsid w:val="00712A2D"/>
    <w:rsid w:val="0071336A"/>
    <w:rsid w:val="00713B09"/>
    <w:rsid w:val="0071405D"/>
    <w:rsid w:val="0071562B"/>
    <w:rsid w:val="00715CCB"/>
    <w:rsid w:val="00715D38"/>
    <w:rsid w:val="00715D40"/>
    <w:rsid w:val="00716140"/>
    <w:rsid w:val="007163D2"/>
    <w:rsid w:val="0071666F"/>
    <w:rsid w:val="00716F5D"/>
    <w:rsid w:val="0071705A"/>
    <w:rsid w:val="00717828"/>
    <w:rsid w:val="00717FF0"/>
    <w:rsid w:val="007206E7"/>
    <w:rsid w:val="00720D11"/>
    <w:rsid w:val="00720E49"/>
    <w:rsid w:val="0072174B"/>
    <w:rsid w:val="0072244C"/>
    <w:rsid w:val="007234C7"/>
    <w:rsid w:val="00723749"/>
    <w:rsid w:val="00723794"/>
    <w:rsid w:val="00723ABF"/>
    <w:rsid w:val="0072414B"/>
    <w:rsid w:val="007243AF"/>
    <w:rsid w:val="007245BC"/>
    <w:rsid w:val="00724BBA"/>
    <w:rsid w:val="007255CA"/>
    <w:rsid w:val="007257C0"/>
    <w:rsid w:val="007259F7"/>
    <w:rsid w:val="00726BB3"/>
    <w:rsid w:val="0072706F"/>
    <w:rsid w:val="0073049C"/>
    <w:rsid w:val="00730F18"/>
    <w:rsid w:val="0073164E"/>
    <w:rsid w:val="00731898"/>
    <w:rsid w:val="00732561"/>
    <w:rsid w:val="00732870"/>
    <w:rsid w:val="007331FE"/>
    <w:rsid w:val="00733E5D"/>
    <w:rsid w:val="007358B9"/>
    <w:rsid w:val="007365DF"/>
    <w:rsid w:val="0074057F"/>
    <w:rsid w:val="00740E2F"/>
    <w:rsid w:val="00740F64"/>
    <w:rsid w:val="00741EDC"/>
    <w:rsid w:val="007435B3"/>
    <w:rsid w:val="00743B64"/>
    <w:rsid w:val="00743CA2"/>
    <w:rsid w:val="00743D10"/>
    <w:rsid w:val="00743EFA"/>
    <w:rsid w:val="00744A57"/>
    <w:rsid w:val="0074512E"/>
    <w:rsid w:val="00745428"/>
    <w:rsid w:val="00745E43"/>
    <w:rsid w:val="00746A39"/>
    <w:rsid w:val="00746E78"/>
    <w:rsid w:val="00747137"/>
    <w:rsid w:val="0074774C"/>
    <w:rsid w:val="00747AB4"/>
    <w:rsid w:val="0075008D"/>
    <w:rsid w:val="007505D7"/>
    <w:rsid w:val="00750C20"/>
    <w:rsid w:val="0075144B"/>
    <w:rsid w:val="0075151C"/>
    <w:rsid w:val="0075153A"/>
    <w:rsid w:val="00752185"/>
    <w:rsid w:val="0075290D"/>
    <w:rsid w:val="00753CBF"/>
    <w:rsid w:val="0075479D"/>
    <w:rsid w:val="00755706"/>
    <w:rsid w:val="00755878"/>
    <w:rsid w:val="00755AEA"/>
    <w:rsid w:val="00756031"/>
    <w:rsid w:val="0075654F"/>
    <w:rsid w:val="00756C91"/>
    <w:rsid w:val="00756F7A"/>
    <w:rsid w:val="0075714A"/>
    <w:rsid w:val="00757692"/>
    <w:rsid w:val="0075794C"/>
    <w:rsid w:val="00757982"/>
    <w:rsid w:val="00757E45"/>
    <w:rsid w:val="007613FF"/>
    <w:rsid w:val="00762155"/>
    <w:rsid w:val="00762771"/>
    <w:rsid w:val="007627E3"/>
    <w:rsid w:val="007628BF"/>
    <w:rsid w:val="00762E43"/>
    <w:rsid w:val="007634F2"/>
    <w:rsid w:val="00764F81"/>
    <w:rsid w:val="00765936"/>
    <w:rsid w:val="00765C73"/>
    <w:rsid w:val="00766162"/>
    <w:rsid w:val="00766288"/>
    <w:rsid w:val="00766652"/>
    <w:rsid w:val="00766C0D"/>
    <w:rsid w:val="00767487"/>
    <w:rsid w:val="007674EB"/>
    <w:rsid w:val="00767DF4"/>
    <w:rsid w:val="0077001E"/>
    <w:rsid w:val="00770E5E"/>
    <w:rsid w:val="00772BBC"/>
    <w:rsid w:val="00773262"/>
    <w:rsid w:val="007734CB"/>
    <w:rsid w:val="00773C03"/>
    <w:rsid w:val="00773C73"/>
    <w:rsid w:val="007759A0"/>
    <w:rsid w:val="00775A64"/>
    <w:rsid w:val="00775B6B"/>
    <w:rsid w:val="00775D95"/>
    <w:rsid w:val="0077694A"/>
    <w:rsid w:val="00776AC5"/>
    <w:rsid w:val="00777798"/>
    <w:rsid w:val="00777B70"/>
    <w:rsid w:val="007803BD"/>
    <w:rsid w:val="0078052D"/>
    <w:rsid w:val="00780540"/>
    <w:rsid w:val="00780689"/>
    <w:rsid w:val="007809AB"/>
    <w:rsid w:val="00781CE1"/>
    <w:rsid w:val="00782255"/>
    <w:rsid w:val="00782798"/>
    <w:rsid w:val="00782E57"/>
    <w:rsid w:val="00783563"/>
    <w:rsid w:val="007839EA"/>
    <w:rsid w:val="00784130"/>
    <w:rsid w:val="007844EE"/>
    <w:rsid w:val="007845B1"/>
    <w:rsid w:val="007852A2"/>
    <w:rsid w:val="00785598"/>
    <w:rsid w:val="00785A21"/>
    <w:rsid w:val="00785B02"/>
    <w:rsid w:val="00786180"/>
    <w:rsid w:val="00787D40"/>
    <w:rsid w:val="00790E49"/>
    <w:rsid w:val="00790F1C"/>
    <w:rsid w:val="007912BC"/>
    <w:rsid w:val="00791AA0"/>
    <w:rsid w:val="00792344"/>
    <w:rsid w:val="007927A3"/>
    <w:rsid w:val="00794155"/>
    <w:rsid w:val="007941CC"/>
    <w:rsid w:val="007942D9"/>
    <w:rsid w:val="007946A5"/>
    <w:rsid w:val="00794759"/>
    <w:rsid w:val="00796473"/>
    <w:rsid w:val="00796E07"/>
    <w:rsid w:val="007A16B6"/>
    <w:rsid w:val="007A1ABB"/>
    <w:rsid w:val="007A1C66"/>
    <w:rsid w:val="007A1C71"/>
    <w:rsid w:val="007A1DCB"/>
    <w:rsid w:val="007A295E"/>
    <w:rsid w:val="007A2D99"/>
    <w:rsid w:val="007A34E0"/>
    <w:rsid w:val="007A3ED8"/>
    <w:rsid w:val="007A40AB"/>
    <w:rsid w:val="007A4DA3"/>
    <w:rsid w:val="007A5AA8"/>
    <w:rsid w:val="007A664B"/>
    <w:rsid w:val="007A7104"/>
    <w:rsid w:val="007A77C0"/>
    <w:rsid w:val="007A79FA"/>
    <w:rsid w:val="007A7D7A"/>
    <w:rsid w:val="007B0446"/>
    <w:rsid w:val="007B095B"/>
    <w:rsid w:val="007B0DA8"/>
    <w:rsid w:val="007B1B92"/>
    <w:rsid w:val="007B2569"/>
    <w:rsid w:val="007B3A44"/>
    <w:rsid w:val="007B3C98"/>
    <w:rsid w:val="007B3D25"/>
    <w:rsid w:val="007B3DB9"/>
    <w:rsid w:val="007B4B03"/>
    <w:rsid w:val="007B599D"/>
    <w:rsid w:val="007B5E5D"/>
    <w:rsid w:val="007B635A"/>
    <w:rsid w:val="007B6825"/>
    <w:rsid w:val="007B6C0A"/>
    <w:rsid w:val="007B6D00"/>
    <w:rsid w:val="007C00D7"/>
    <w:rsid w:val="007C17EB"/>
    <w:rsid w:val="007C19F5"/>
    <w:rsid w:val="007C2F4B"/>
    <w:rsid w:val="007C3CE1"/>
    <w:rsid w:val="007C4507"/>
    <w:rsid w:val="007C4631"/>
    <w:rsid w:val="007C56AD"/>
    <w:rsid w:val="007C5F2E"/>
    <w:rsid w:val="007C6296"/>
    <w:rsid w:val="007C65C5"/>
    <w:rsid w:val="007C662F"/>
    <w:rsid w:val="007C66AC"/>
    <w:rsid w:val="007C77C8"/>
    <w:rsid w:val="007C7F83"/>
    <w:rsid w:val="007D09FB"/>
    <w:rsid w:val="007D1BC1"/>
    <w:rsid w:val="007D246D"/>
    <w:rsid w:val="007D24B5"/>
    <w:rsid w:val="007D316C"/>
    <w:rsid w:val="007D3AE0"/>
    <w:rsid w:val="007D4A3D"/>
    <w:rsid w:val="007D5476"/>
    <w:rsid w:val="007D6091"/>
    <w:rsid w:val="007D74F0"/>
    <w:rsid w:val="007D7715"/>
    <w:rsid w:val="007D78DC"/>
    <w:rsid w:val="007D7A23"/>
    <w:rsid w:val="007E0054"/>
    <w:rsid w:val="007E0A7E"/>
    <w:rsid w:val="007E17D4"/>
    <w:rsid w:val="007E2F60"/>
    <w:rsid w:val="007E338F"/>
    <w:rsid w:val="007E35B0"/>
    <w:rsid w:val="007E383F"/>
    <w:rsid w:val="007E3E02"/>
    <w:rsid w:val="007E42A3"/>
    <w:rsid w:val="007E457E"/>
    <w:rsid w:val="007E465F"/>
    <w:rsid w:val="007E4969"/>
    <w:rsid w:val="007E4B2E"/>
    <w:rsid w:val="007E5CEF"/>
    <w:rsid w:val="007E61EF"/>
    <w:rsid w:val="007E62C2"/>
    <w:rsid w:val="007E6864"/>
    <w:rsid w:val="007E69F0"/>
    <w:rsid w:val="007E6C0D"/>
    <w:rsid w:val="007E7460"/>
    <w:rsid w:val="007E787D"/>
    <w:rsid w:val="007F04A6"/>
    <w:rsid w:val="007F04E8"/>
    <w:rsid w:val="007F051E"/>
    <w:rsid w:val="007F08E4"/>
    <w:rsid w:val="007F15D6"/>
    <w:rsid w:val="007F1BEC"/>
    <w:rsid w:val="007F1C48"/>
    <w:rsid w:val="007F220B"/>
    <w:rsid w:val="007F2237"/>
    <w:rsid w:val="007F2A46"/>
    <w:rsid w:val="007F32EC"/>
    <w:rsid w:val="007F58DB"/>
    <w:rsid w:val="007F5AB7"/>
    <w:rsid w:val="007F5E29"/>
    <w:rsid w:val="007F664E"/>
    <w:rsid w:val="007F67C9"/>
    <w:rsid w:val="007F718A"/>
    <w:rsid w:val="007F74B2"/>
    <w:rsid w:val="007F773B"/>
    <w:rsid w:val="007F7BF5"/>
    <w:rsid w:val="00801048"/>
    <w:rsid w:val="00802151"/>
    <w:rsid w:val="00802EF1"/>
    <w:rsid w:val="008038F6"/>
    <w:rsid w:val="0080412D"/>
    <w:rsid w:val="00804147"/>
    <w:rsid w:val="0080458B"/>
    <w:rsid w:val="00804D98"/>
    <w:rsid w:val="008056DB"/>
    <w:rsid w:val="008062EA"/>
    <w:rsid w:val="0080698D"/>
    <w:rsid w:val="008078B6"/>
    <w:rsid w:val="00807DA4"/>
    <w:rsid w:val="0081014C"/>
    <w:rsid w:val="008104C2"/>
    <w:rsid w:val="00810707"/>
    <w:rsid w:val="00810CD1"/>
    <w:rsid w:val="00811160"/>
    <w:rsid w:val="0081257D"/>
    <w:rsid w:val="00812708"/>
    <w:rsid w:val="00812D7E"/>
    <w:rsid w:val="00813D75"/>
    <w:rsid w:val="00813DF0"/>
    <w:rsid w:val="008141FC"/>
    <w:rsid w:val="0081428D"/>
    <w:rsid w:val="008147CE"/>
    <w:rsid w:val="00814C74"/>
    <w:rsid w:val="00814DCC"/>
    <w:rsid w:val="0081599E"/>
    <w:rsid w:val="00815B6E"/>
    <w:rsid w:val="00820319"/>
    <w:rsid w:val="0082058F"/>
    <w:rsid w:val="008206F5"/>
    <w:rsid w:val="0082093D"/>
    <w:rsid w:val="008219A8"/>
    <w:rsid w:val="00822111"/>
    <w:rsid w:val="008224F7"/>
    <w:rsid w:val="00822702"/>
    <w:rsid w:val="008229CE"/>
    <w:rsid w:val="0082345A"/>
    <w:rsid w:val="00823B77"/>
    <w:rsid w:val="00824241"/>
    <w:rsid w:val="0082441F"/>
    <w:rsid w:val="00824AA5"/>
    <w:rsid w:val="00825DE6"/>
    <w:rsid w:val="008270A7"/>
    <w:rsid w:val="00827F2D"/>
    <w:rsid w:val="00830D99"/>
    <w:rsid w:val="0083146F"/>
    <w:rsid w:val="00831544"/>
    <w:rsid w:val="00832082"/>
    <w:rsid w:val="00832095"/>
    <w:rsid w:val="008323AD"/>
    <w:rsid w:val="0083405B"/>
    <w:rsid w:val="008344C2"/>
    <w:rsid w:val="00834830"/>
    <w:rsid w:val="00834AAC"/>
    <w:rsid w:val="00834F2E"/>
    <w:rsid w:val="00835A59"/>
    <w:rsid w:val="00836086"/>
    <w:rsid w:val="0083664F"/>
    <w:rsid w:val="0083724D"/>
    <w:rsid w:val="008372A1"/>
    <w:rsid w:val="00837B8E"/>
    <w:rsid w:val="008408E4"/>
    <w:rsid w:val="00840AE8"/>
    <w:rsid w:val="008415DF"/>
    <w:rsid w:val="00841D08"/>
    <w:rsid w:val="0084255C"/>
    <w:rsid w:val="00842A81"/>
    <w:rsid w:val="00842C3C"/>
    <w:rsid w:val="00844408"/>
    <w:rsid w:val="008445B4"/>
    <w:rsid w:val="00844B28"/>
    <w:rsid w:val="008462D7"/>
    <w:rsid w:val="008466A3"/>
    <w:rsid w:val="00846FC4"/>
    <w:rsid w:val="008472F6"/>
    <w:rsid w:val="0085059F"/>
    <w:rsid w:val="00850E7C"/>
    <w:rsid w:val="00851E15"/>
    <w:rsid w:val="00852276"/>
    <w:rsid w:val="00852369"/>
    <w:rsid w:val="00852718"/>
    <w:rsid w:val="0085271B"/>
    <w:rsid w:val="00852898"/>
    <w:rsid w:val="00853154"/>
    <w:rsid w:val="00853832"/>
    <w:rsid w:val="00853856"/>
    <w:rsid w:val="008538DF"/>
    <w:rsid w:val="00853CEC"/>
    <w:rsid w:val="00854557"/>
    <w:rsid w:val="00854EF0"/>
    <w:rsid w:val="008556DD"/>
    <w:rsid w:val="008568C8"/>
    <w:rsid w:val="0085696C"/>
    <w:rsid w:val="00857F6A"/>
    <w:rsid w:val="008602F1"/>
    <w:rsid w:val="0086045E"/>
    <w:rsid w:val="00860631"/>
    <w:rsid w:val="0086115C"/>
    <w:rsid w:val="008611DC"/>
    <w:rsid w:val="00861687"/>
    <w:rsid w:val="00861853"/>
    <w:rsid w:val="00861DC7"/>
    <w:rsid w:val="0086220A"/>
    <w:rsid w:val="00862474"/>
    <w:rsid w:val="00862853"/>
    <w:rsid w:val="00862D03"/>
    <w:rsid w:val="00863E60"/>
    <w:rsid w:val="00863FEF"/>
    <w:rsid w:val="00864361"/>
    <w:rsid w:val="00864A27"/>
    <w:rsid w:val="00864A54"/>
    <w:rsid w:val="008652C8"/>
    <w:rsid w:val="00865E4B"/>
    <w:rsid w:val="0086635F"/>
    <w:rsid w:val="00866CC5"/>
    <w:rsid w:val="00866CD2"/>
    <w:rsid w:val="008675D7"/>
    <w:rsid w:val="00867E7F"/>
    <w:rsid w:val="0087085A"/>
    <w:rsid w:val="00870D6E"/>
    <w:rsid w:val="0087116F"/>
    <w:rsid w:val="008720FE"/>
    <w:rsid w:val="008722D3"/>
    <w:rsid w:val="0087305A"/>
    <w:rsid w:val="008730FA"/>
    <w:rsid w:val="0087337C"/>
    <w:rsid w:val="00873636"/>
    <w:rsid w:val="0087374E"/>
    <w:rsid w:val="00873774"/>
    <w:rsid w:val="00873D0B"/>
    <w:rsid w:val="0087468C"/>
    <w:rsid w:val="00874EE3"/>
    <w:rsid w:val="00875139"/>
    <w:rsid w:val="0087586E"/>
    <w:rsid w:val="008767E1"/>
    <w:rsid w:val="00876877"/>
    <w:rsid w:val="00876B7D"/>
    <w:rsid w:val="00876B89"/>
    <w:rsid w:val="00876FCD"/>
    <w:rsid w:val="00880A29"/>
    <w:rsid w:val="00882406"/>
    <w:rsid w:val="00883AE8"/>
    <w:rsid w:val="00883EBD"/>
    <w:rsid w:val="00884436"/>
    <w:rsid w:val="00885247"/>
    <w:rsid w:val="0088525A"/>
    <w:rsid w:val="0088580B"/>
    <w:rsid w:val="00886145"/>
    <w:rsid w:val="00886EB9"/>
    <w:rsid w:val="00887347"/>
    <w:rsid w:val="0088741B"/>
    <w:rsid w:val="00887796"/>
    <w:rsid w:val="0089054F"/>
    <w:rsid w:val="008916A7"/>
    <w:rsid w:val="00891C73"/>
    <w:rsid w:val="0089238F"/>
    <w:rsid w:val="0089261B"/>
    <w:rsid w:val="00892663"/>
    <w:rsid w:val="0089349B"/>
    <w:rsid w:val="00893805"/>
    <w:rsid w:val="00893D66"/>
    <w:rsid w:val="0089433E"/>
    <w:rsid w:val="0089465D"/>
    <w:rsid w:val="0089571C"/>
    <w:rsid w:val="00895C70"/>
    <w:rsid w:val="00895E26"/>
    <w:rsid w:val="00895E39"/>
    <w:rsid w:val="0089616F"/>
    <w:rsid w:val="008962D1"/>
    <w:rsid w:val="00896740"/>
    <w:rsid w:val="00896917"/>
    <w:rsid w:val="00897197"/>
    <w:rsid w:val="008971E0"/>
    <w:rsid w:val="0089744B"/>
    <w:rsid w:val="008A0052"/>
    <w:rsid w:val="008A07D0"/>
    <w:rsid w:val="008A0980"/>
    <w:rsid w:val="008A0A0A"/>
    <w:rsid w:val="008A0FBA"/>
    <w:rsid w:val="008A12BD"/>
    <w:rsid w:val="008A18D6"/>
    <w:rsid w:val="008A1BA4"/>
    <w:rsid w:val="008A29A1"/>
    <w:rsid w:val="008A2E39"/>
    <w:rsid w:val="008A314E"/>
    <w:rsid w:val="008A32F2"/>
    <w:rsid w:val="008A3C13"/>
    <w:rsid w:val="008A3EC9"/>
    <w:rsid w:val="008A497F"/>
    <w:rsid w:val="008A4BD1"/>
    <w:rsid w:val="008A4CBA"/>
    <w:rsid w:val="008A4F71"/>
    <w:rsid w:val="008A5238"/>
    <w:rsid w:val="008A52F2"/>
    <w:rsid w:val="008A5422"/>
    <w:rsid w:val="008A6594"/>
    <w:rsid w:val="008A6E13"/>
    <w:rsid w:val="008A724F"/>
    <w:rsid w:val="008B097A"/>
    <w:rsid w:val="008B0EC9"/>
    <w:rsid w:val="008B15EA"/>
    <w:rsid w:val="008B1711"/>
    <w:rsid w:val="008B37E1"/>
    <w:rsid w:val="008B3CDE"/>
    <w:rsid w:val="008B4609"/>
    <w:rsid w:val="008B49FF"/>
    <w:rsid w:val="008B4A7C"/>
    <w:rsid w:val="008B559E"/>
    <w:rsid w:val="008B5E2A"/>
    <w:rsid w:val="008B69D4"/>
    <w:rsid w:val="008B756D"/>
    <w:rsid w:val="008C0835"/>
    <w:rsid w:val="008C2145"/>
    <w:rsid w:val="008C2146"/>
    <w:rsid w:val="008C242C"/>
    <w:rsid w:val="008C31CA"/>
    <w:rsid w:val="008C36B5"/>
    <w:rsid w:val="008C3942"/>
    <w:rsid w:val="008C4D03"/>
    <w:rsid w:val="008C53F8"/>
    <w:rsid w:val="008C5A8F"/>
    <w:rsid w:val="008C5D72"/>
    <w:rsid w:val="008C6301"/>
    <w:rsid w:val="008C63EA"/>
    <w:rsid w:val="008C649E"/>
    <w:rsid w:val="008C64CB"/>
    <w:rsid w:val="008C658E"/>
    <w:rsid w:val="008C69C2"/>
    <w:rsid w:val="008C6D2D"/>
    <w:rsid w:val="008D038B"/>
    <w:rsid w:val="008D040E"/>
    <w:rsid w:val="008D160F"/>
    <w:rsid w:val="008D18C7"/>
    <w:rsid w:val="008D1FCB"/>
    <w:rsid w:val="008D274B"/>
    <w:rsid w:val="008D2AE1"/>
    <w:rsid w:val="008D2D30"/>
    <w:rsid w:val="008D2DFA"/>
    <w:rsid w:val="008D3010"/>
    <w:rsid w:val="008D365C"/>
    <w:rsid w:val="008D3B22"/>
    <w:rsid w:val="008D3CFC"/>
    <w:rsid w:val="008D3FBE"/>
    <w:rsid w:val="008D427E"/>
    <w:rsid w:val="008D42AF"/>
    <w:rsid w:val="008D482B"/>
    <w:rsid w:val="008D5C3A"/>
    <w:rsid w:val="008D6223"/>
    <w:rsid w:val="008D72C8"/>
    <w:rsid w:val="008D754E"/>
    <w:rsid w:val="008D76B9"/>
    <w:rsid w:val="008D7D5C"/>
    <w:rsid w:val="008D7FCD"/>
    <w:rsid w:val="008E0367"/>
    <w:rsid w:val="008E0545"/>
    <w:rsid w:val="008E2098"/>
    <w:rsid w:val="008E274D"/>
    <w:rsid w:val="008E3137"/>
    <w:rsid w:val="008E3343"/>
    <w:rsid w:val="008E4041"/>
    <w:rsid w:val="008E438A"/>
    <w:rsid w:val="008E4D25"/>
    <w:rsid w:val="008E4E3D"/>
    <w:rsid w:val="008E523D"/>
    <w:rsid w:val="008E54F7"/>
    <w:rsid w:val="008E57D3"/>
    <w:rsid w:val="008E5C49"/>
    <w:rsid w:val="008E6716"/>
    <w:rsid w:val="008E6BF7"/>
    <w:rsid w:val="008E6DE8"/>
    <w:rsid w:val="008E772B"/>
    <w:rsid w:val="008E7D60"/>
    <w:rsid w:val="008F0B36"/>
    <w:rsid w:val="008F0F71"/>
    <w:rsid w:val="008F1E38"/>
    <w:rsid w:val="008F1E80"/>
    <w:rsid w:val="008F1ECF"/>
    <w:rsid w:val="008F1F31"/>
    <w:rsid w:val="008F223C"/>
    <w:rsid w:val="008F2301"/>
    <w:rsid w:val="008F2A3A"/>
    <w:rsid w:val="008F3147"/>
    <w:rsid w:val="008F340E"/>
    <w:rsid w:val="008F36C4"/>
    <w:rsid w:val="008F4096"/>
    <w:rsid w:val="008F4226"/>
    <w:rsid w:val="008F5144"/>
    <w:rsid w:val="008F5685"/>
    <w:rsid w:val="008F7622"/>
    <w:rsid w:val="008F76C5"/>
    <w:rsid w:val="008F77D1"/>
    <w:rsid w:val="008F7ACB"/>
    <w:rsid w:val="009002C7"/>
    <w:rsid w:val="009003EB"/>
    <w:rsid w:val="009007AC"/>
    <w:rsid w:val="00900841"/>
    <w:rsid w:val="00900C43"/>
    <w:rsid w:val="00901AFD"/>
    <w:rsid w:val="00902685"/>
    <w:rsid w:val="00902E67"/>
    <w:rsid w:val="009043DD"/>
    <w:rsid w:val="00904866"/>
    <w:rsid w:val="00904A36"/>
    <w:rsid w:val="00904F51"/>
    <w:rsid w:val="00906091"/>
    <w:rsid w:val="009062E3"/>
    <w:rsid w:val="00906A85"/>
    <w:rsid w:val="00906AEB"/>
    <w:rsid w:val="00907147"/>
    <w:rsid w:val="00912770"/>
    <w:rsid w:val="00913102"/>
    <w:rsid w:val="00913492"/>
    <w:rsid w:val="00913B1C"/>
    <w:rsid w:val="00913ED8"/>
    <w:rsid w:val="00914662"/>
    <w:rsid w:val="00914874"/>
    <w:rsid w:val="00915338"/>
    <w:rsid w:val="009159FF"/>
    <w:rsid w:val="00915FA6"/>
    <w:rsid w:val="009168A1"/>
    <w:rsid w:val="00917069"/>
    <w:rsid w:val="0091740D"/>
    <w:rsid w:val="00917674"/>
    <w:rsid w:val="00917837"/>
    <w:rsid w:val="0092022C"/>
    <w:rsid w:val="00920D49"/>
    <w:rsid w:val="009211E4"/>
    <w:rsid w:val="00921338"/>
    <w:rsid w:val="009218C8"/>
    <w:rsid w:val="00921C6E"/>
    <w:rsid w:val="0092261C"/>
    <w:rsid w:val="009227E3"/>
    <w:rsid w:val="009231AA"/>
    <w:rsid w:val="0092383E"/>
    <w:rsid w:val="00923F12"/>
    <w:rsid w:val="00925466"/>
    <w:rsid w:val="00925488"/>
    <w:rsid w:val="009258F6"/>
    <w:rsid w:val="00925AEE"/>
    <w:rsid w:val="00927521"/>
    <w:rsid w:val="00927B43"/>
    <w:rsid w:val="00927C94"/>
    <w:rsid w:val="00927E68"/>
    <w:rsid w:val="00930AA5"/>
    <w:rsid w:val="00930C23"/>
    <w:rsid w:val="00931FE2"/>
    <w:rsid w:val="00932703"/>
    <w:rsid w:val="0093314C"/>
    <w:rsid w:val="00933254"/>
    <w:rsid w:val="009336B1"/>
    <w:rsid w:val="009338B7"/>
    <w:rsid w:val="00933E4F"/>
    <w:rsid w:val="00933F92"/>
    <w:rsid w:val="00934759"/>
    <w:rsid w:val="00934E4E"/>
    <w:rsid w:val="00934F43"/>
    <w:rsid w:val="00934F6B"/>
    <w:rsid w:val="00935463"/>
    <w:rsid w:val="009354EB"/>
    <w:rsid w:val="00935821"/>
    <w:rsid w:val="009358F0"/>
    <w:rsid w:val="00935D0E"/>
    <w:rsid w:val="00935D1E"/>
    <w:rsid w:val="009363E4"/>
    <w:rsid w:val="009366FC"/>
    <w:rsid w:val="00937249"/>
    <w:rsid w:val="00942A73"/>
    <w:rsid w:val="00942B93"/>
    <w:rsid w:val="00942C86"/>
    <w:rsid w:val="0094362C"/>
    <w:rsid w:val="00943B51"/>
    <w:rsid w:val="00944006"/>
    <w:rsid w:val="009441E9"/>
    <w:rsid w:val="00944658"/>
    <w:rsid w:val="00944BA0"/>
    <w:rsid w:val="00944F0C"/>
    <w:rsid w:val="00945035"/>
    <w:rsid w:val="009453C2"/>
    <w:rsid w:val="0094590D"/>
    <w:rsid w:val="00946885"/>
    <w:rsid w:val="0094692E"/>
    <w:rsid w:val="00946C19"/>
    <w:rsid w:val="00947138"/>
    <w:rsid w:val="009506FB"/>
    <w:rsid w:val="009508E4"/>
    <w:rsid w:val="0095090D"/>
    <w:rsid w:val="00951676"/>
    <w:rsid w:val="00951D79"/>
    <w:rsid w:val="00951FF6"/>
    <w:rsid w:val="009521A8"/>
    <w:rsid w:val="0095283B"/>
    <w:rsid w:val="00952DA4"/>
    <w:rsid w:val="009534DE"/>
    <w:rsid w:val="00954361"/>
    <w:rsid w:val="009567BB"/>
    <w:rsid w:val="0095746F"/>
    <w:rsid w:val="009574F2"/>
    <w:rsid w:val="009601F0"/>
    <w:rsid w:val="00960627"/>
    <w:rsid w:val="00960B1F"/>
    <w:rsid w:val="00961720"/>
    <w:rsid w:val="00962063"/>
    <w:rsid w:val="009625FC"/>
    <w:rsid w:val="0096303A"/>
    <w:rsid w:val="009639AF"/>
    <w:rsid w:val="009644E5"/>
    <w:rsid w:val="00965AC9"/>
    <w:rsid w:val="0096776D"/>
    <w:rsid w:val="009705EE"/>
    <w:rsid w:val="0097074B"/>
    <w:rsid w:val="00970ADE"/>
    <w:rsid w:val="00970E13"/>
    <w:rsid w:val="0097252A"/>
    <w:rsid w:val="009728D9"/>
    <w:rsid w:val="00972A44"/>
    <w:rsid w:val="00972E28"/>
    <w:rsid w:val="00972F7C"/>
    <w:rsid w:val="00973843"/>
    <w:rsid w:val="00973847"/>
    <w:rsid w:val="00973C24"/>
    <w:rsid w:val="00973F98"/>
    <w:rsid w:val="0097576D"/>
    <w:rsid w:val="00975770"/>
    <w:rsid w:val="00975D1F"/>
    <w:rsid w:val="009761C6"/>
    <w:rsid w:val="009767DC"/>
    <w:rsid w:val="0097686E"/>
    <w:rsid w:val="009777E8"/>
    <w:rsid w:val="00977DE5"/>
    <w:rsid w:val="009805F2"/>
    <w:rsid w:val="009819E2"/>
    <w:rsid w:val="00984230"/>
    <w:rsid w:val="00985B32"/>
    <w:rsid w:val="00986361"/>
    <w:rsid w:val="00986DCA"/>
    <w:rsid w:val="009901DD"/>
    <w:rsid w:val="009906C1"/>
    <w:rsid w:val="00990BD4"/>
    <w:rsid w:val="0099121E"/>
    <w:rsid w:val="009924C2"/>
    <w:rsid w:val="00992AF3"/>
    <w:rsid w:val="00992D48"/>
    <w:rsid w:val="009937E1"/>
    <w:rsid w:val="0099395C"/>
    <w:rsid w:val="00994300"/>
    <w:rsid w:val="00994EAE"/>
    <w:rsid w:val="00995AA3"/>
    <w:rsid w:val="00996A42"/>
    <w:rsid w:val="00996B3C"/>
    <w:rsid w:val="0099743B"/>
    <w:rsid w:val="0099756D"/>
    <w:rsid w:val="00997991"/>
    <w:rsid w:val="009A0503"/>
    <w:rsid w:val="009A0DAF"/>
    <w:rsid w:val="009A1085"/>
    <w:rsid w:val="009A1332"/>
    <w:rsid w:val="009A1EFA"/>
    <w:rsid w:val="009A2073"/>
    <w:rsid w:val="009A2C3A"/>
    <w:rsid w:val="009A3981"/>
    <w:rsid w:val="009A4646"/>
    <w:rsid w:val="009A4E3F"/>
    <w:rsid w:val="009A569C"/>
    <w:rsid w:val="009A5EC0"/>
    <w:rsid w:val="009A64B5"/>
    <w:rsid w:val="009A64C7"/>
    <w:rsid w:val="009A6780"/>
    <w:rsid w:val="009A6A50"/>
    <w:rsid w:val="009A70E2"/>
    <w:rsid w:val="009A7535"/>
    <w:rsid w:val="009A7F1D"/>
    <w:rsid w:val="009B0320"/>
    <w:rsid w:val="009B12C9"/>
    <w:rsid w:val="009B17E9"/>
    <w:rsid w:val="009B1A8C"/>
    <w:rsid w:val="009B2680"/>
    <w:rsid w:val="009B2D1F"/>
    <w:rsid w:val="009B2E66"/>
    <w:rsid w:val="009B2FAB"/>
    <w:rsid w:val="009B3022"/>
    <w:rsid w:val="009B3065"/>
    <w:rsid w:val="009B36A1"/>
    <w:rsid w:val="009B3AF8"/>
    <w:rsid w:val="009B46B7"/>
    <w:rsid w:val="009B478D"/>
    <w:rsid w:val="009B48C6"/>
    <w:rsid w:val="009B4FA5"/>
    <w:rsid w:val="009B6761"/>
    <w:rsid w:val="009B7065"/>
    <w:rsid w:val="009B73DF"/>
    <w:rsid w:val="009B7775"/>
    <w:rsid w:val="009B7888"/>
    <w:rsid w:val="009C05A6"/>
    <w:rsid w:val="009C1412"/>
    <w:rsid w:val="009C16B9"/>
    <w:rsid w:val="009C18ED"/>
    <w:rsid w:val="009C1E96"/>
    <w:rsid w:val="009C2764"/>
    <w:rsid w:val="009C2857"/>
    <w:rsid w:val="009C2DD9"/>
    <w:rsid w:val="009C3751"/>
    <w:rsid w:val="009C3999"/>
    <w:rsid w:val="009C435F"/>
    <w:rsid w:val="009C496A"/>
    <w:rsid w:val="009C4E42"/>
    <w:rsid w:val="009C4FF8"/>
    <w:rsid w:val="009C5247"/>
    <w:rsid w:val="009C5742"/>
    <w:rsid w:val="009C590A"/>
    <w:rsid w:val="009C5B6F"/>
    <w:rsid w:val="009C6D66"/>
    <w:rsid w:val="009C6E31"/>
    <w:rsid w:val="009C7771"/>
    <w:rsid w:val="009C7EBD"/>
    <w:rsid w:val="009D0B1D"/>
    <w:rsid w:val="009D0C86"/>
    <w:rsid w:val="009D2851"/>
    <w:rsid w:val="009D2E24"/>
    <w:rsid w:val="009D2EC5"/>
    <w:rsid w:val="009D2F23"/>
    <w:rsid w:val="009D38B4"/>
    <w:rsid w:val="009D5224"/>
    <w:rsid w:val="009D532C"/>
    <w:rsid w:val="009D5A43"/>
    <w:rsid w:val="009D5A83"/>
    <w:rsid w:val="009D5C0C"/>
    <w:rsid w:val="009D5E78"/>
    <w:rsid w:val="009D6107"/>
    <w:rsid w:val="009D641A"/>
    <w:rsid w:val="009D66E0"/>
    <w:rsid w:val="009D6AA6"/>
    <w:rsid w:val="009D6AE9"/>
    <w:rsid w:val="009D6CA1"/>
    <w:rsid w:val="009D6FD3"/>
    <w:rsid w:val="009D735F"/>
    <w:rsid w:val="009D79ED"/>
    <w:rsid w:val="009E0DA8"/>
    <w:rsid w:val="009E137A"/>
    <w:rsid w:val="009E13F9"/>
    <w:rsid w:val="009E14B1"/>
    <w:rsid w:val="009E1811"/>
    <w:rsid w:val="009E18D6"/>
    <w:rsid w:val="009E1DB0"/>
    <w:rsid w:val="009E1DF1"/>
    <w:rsid w:val="009E1EBF"/>
    <w:rsid w:val="009E1F8C"/>
    <w:rsid w:val="009E2DFC"/>
    <w:rsid w:val="009E2EDD"/>
    <w:rsid w:val="009E30FA"/>
    <w:rsid w:val="009E35B2"/>
    <w:rsid w:val="009E363F"/>
    <w:rsid w:val="009E4113"/>
    <w:rsid w:val="009E41FF"/>
    <w:rsid w:val="009E5450"/>
    <w:rsid w:val="009E61CD"/>
    <w:rsid w:val="009E7939"/>
    <w:rsid w:val="009F0667"/>
    <w:rsid w:val="009F08A6"/>
    <w:rsid w:val="009F0904"/>
    <w:rsid w:val="009F0A4E"/>
    <w:rsid w:val="009F0E91"/>
    <w:rsid w:val="009F18ED"/>
    <w:rsid w:val="009F2890"/>
    <w:rsid w:val="009F28EE"/>
    <w:rsid w:val="009F2A2A"/>
    <w:rsid w:val="009F2BA8"/>
    <w:rsid w:val="009F2DEB"/>
    <w:rsid w:val="009F38E7"/>
    <w:rsid w:val="009F56CF"/>
    <w:rsid w:val="009F5B91"/>
    <w:rsid w:val="009F5BAB"/>
    <w:rsid w:val="009F68DA"/>
    <w:rsid w:val="009F6962"/>
    <w:rsid w:val="009F7889"/>
    <w:rsid w:val="009F7D9A"/>
    <w:rsid w:val="00A009A2"/>
    <w:rsid w:val="00A014D1"/>
    <w:rsid w:val="00A015E4"/>
    <w:rsid w:val="00A0181E"/>
    <w:rsid w:val="00A0198C"/>
    <w:rsid w:val="00A01A05"/>
    <w:rsid w:val="00A01A57"/>
    <w:rsid w:val="00A02218"/>
    <w:rsid w:val="00A026EB"/>
    <w:rsid w:val="00A032B1"/>
    <w:rsid w:val="00A0350B"/>
    <w:rsid w:val="00A040BA"/>
    <w:rsid w:val="00A0412F"/>
    <w:rsid w:val="00A04485"/>
    <w:rsid w:val="00A04623"/>
    <w:rsid w:val="00A0499F"/>
    <w:rsid w:val="00A049CD"/>
    <w:rsid w:val="00A04D90"/>
    <w:rsid w:val="00A0569B"/>
    <w:rsid w:val="00A064E5"/>
    <w:rsid w:val="00A06779"/>
    <w:rsid w:val="00A069A9"/>
    <w:rsid w:val="00A06A9E"/>
    <w:rsid w:val="00A06F5C"/>
    <w:rsid w:val="00A0709F"/>
    <w:rsid w:val="00A10846"/>
    <w:rsid w:val="00A10DEB"/>
    <w:rsid w:val="00A13CE5"/>
    <w:rsid w:val="00A14014"/>
    <w:rsid w:val="00A14751"/>
    <w:rsid w:val="00A14D2A"/>
    <w:rsid w:val="00A1564F"/>
    <w:rsid w:val="00A1602B"/>
    <w:rsid w:val="00A16115"/>
    <w:rsid w:val="00A16324"/>
    <w:rsid w:val="00A16B93"/>
    <w:rsid w:val="00A16B9D"/>
    <w:rsid w:val="00A1718E"/>
    <w:rsid w:val="00A17371"/>
    <w:rsid w:val="00A17AE2"/>
    <w:rsid w:val="00A17D0B"/>
    <w:rsid w:val="00A2052F"/>
    <w:rsid w:val="00A206A7"/>
    <w:rsid w:val="00A217D2"/>
    <w:rsid w:val="00A22080"/>
    <w:rsid w:val="00A221A7"/>
    <w:rsid w:val="00A22217"/>
    <w:rsid w:val="00A22E6C"/>
    <w:rsid w:val="00A23D52"/>
    <w:rsid w:val="00A24FCF"/>
    <w:rsid w:val="00A253D8"/>
    <w:rsid w:val="00A25D2F"/>
    <w:rsid w:val="00A25F67"/>
    <w:rsid w:val="00A26600"/>
    <w:rsid w:val="00A2718B"/>
    <w:rsid w:val="00A271FC"/>
    <w:rsid w:val="00A278E7"/>
    <w:rsid w:val="00A27DD9"/>
    <w:rsid w:val="00A305CC"/>
    <w:rsid w:val="00A30A0F"/>
    <w:rsid w:val="00A30DF9"/>
    <w:rsid w:val="00A31BFD"/>
    <w:rsid w:val="00A32995"/>
    <w:rsid w:val="00A32BCB"/>
    <w:rsid w:val="00A32DF2"/>
    <w:rsid w:val="00A347A6"/>
    <w:rsid w:val="00A348FB"/>
    <w:rsid w:val="00A355F1"/>
    <w:rsid w:val="00A35CA8"/>
    <w:rsid w:val="00A368C7"/>
    <w:rsid w:val="00A36A0C"/>
    <w:rsid w:val="00A37513"/>
    <w:rsid w:val="00A3782A"/>
    <w:rsid w:val="00A400F3"/>
    <w:rsid w:val="00A40B8D"/>
    <w:rsid w:val="00A40FB7"/>
    <w:rsid w:val="00A41638"/>
    <w:rsid w:val="00A41DC9"/>
    <w:rsid w:val="00A42250"/>
    <w:rsid w:val="00A42FA6"/>
    <w:rsid w:val="00A42FD9"/>
    <w:rsid w:val="00A4379D"/>
    <w:rsid w:val="00A43E61"/>
    <w:rsid w:val="00A442E7"/>
    <w:rsid w:val="00A445EB"/>
    <w:rsid w:val="00A44AE4"/>
    <w:rsid w:val="00A44F4C"/>
    <w:rsid w:val="00A45308"/>
    <w:rsid w:val="00A4560B"/>
    <w:rsid w:val="00A457AA"/>
    <w:rsid w:val="00A45EEB"/>
    <w:rsid w:val="00A46580"/>
    <w:rsid w:val="00A476C0"/>
    <w:rsid w:val="00A47A33"/>
    <w:rsid w:val="00A47A60"/>
    <w:rsid w:val="00A47B5A"/>
    <w:rsid w:val="00A47BE8"/>
    <w:rsid w:val="00A50236"/>
    <w:rsid w:val="00A502BA"/>
    <w:rsid w:val="00A50341"/>
    <w:rsid w:val="00A50555"/>
    <w:rsid w:val="00A50625"/>
    <w:rsid w:val="00A50732"/>
    <w:rsid w:val="00A51D68"/>
    <w:rsid w:val="00A526F9"/>
    <w:rsid w:val="00A53587"/>
    <w:rsid w:val="00A537DD"/>
    <w:rsid w:val="00A53D77"/>
    <w:rsid w:val="00A55319"/>
    <w:rsid w:val="00A55A35"/>
    <w:rsid w:val="00A55B00"/>
    <w:rsid w:val="00A5621B"/>
    <w:rsid w:val="00A56346"/>
    <w:rsid w:val="00A563F9"/>
    <w:rsid w:val="00A566BA"/>
    <w:rsid w:val="00A572B8"/>
    <w:rsid w:val="00A5781A"/>
    <w:rsid w:val="00A60D9E"/>
    <w:rsid w:val="00A610B2"/>
    <w:rsid w:val="00A611B3"/>
    <w:rsid w:val="00A6146E"/>
    <w:rsid w:val="00A61B4C"/>
    <w:rsid w:val="00A62430"/>
    <w:rsid w:val="00A626A2"/>
    <w:rsid w:val="00A62856"/>
    <w:rsid w:val="00A631DE"/>
    <w:rsid w:val="00A63B5C"/>
    <w:rsid w:val="00A64429"/>
    <w:rsid w:val="00A64810"/>
    <w:rsid w:val="00A65A31"/>
    <w:rsid w:val="00A65AB8"/>
    <w:rsid w:val="00A65D93"/>
    <w:rsid w:val="00A668D6"/>
    <w:rsid w:val="00A66E87"/>
    <w:rsid w:val="00A6761A"/>
    <w:rsid w:val="00A67676"/>
    <w:rsid w:val="00A704D2"/>
    <w:rsid w:val="00A7050D"/>
    <w:rsid w:val="00A718D5"/>
    <w:rsid w:val="00A71AB2"/>
    <w:rsid w:val="00A7362F"/>
    <w:rsid w:val="00A73939"/>
    <w:rsid w:val="00A758F1"/>
    <w:rsid w:val="00A76310"/>
    <w:rsid w:val="00A764E2"/>
    <w:rsid w:val="00A7708B"/>
    <w:rsid w:val="00A77743"/>
    <w:rsid w:val="00A77F95"/>
    <w:rsid w:val="00A80313"/>
    <w:rsid w:val="00A80652"/>
    <w:rsid w:val="00A80DD8"/>
    <w:rsid w:val="00A80E41"/>
    <w:rsid w:val="00A81B17"/>
    <w:rsid w:val="00A81C32"/>
    <w:rsid w:val="00A82169"/>
    <w:rsid w:val="00A83124"/>
    <w:rsid w:val="00A83C56"/>
    <w:rsid w:val="00A841C7"/>
    <w:rsid w:val="00A84E8F"/>
    <w:rsid w:val="00A8551E"/>
    <w:rsid w:val="00A85BCB"/>
    <w:rsid w:val="00A906B6"/>
    <w:rsid w:val="00A90D04"/>
    <w:rsid w:val="00A92027"/>
    <w:rsid w:val="00A92294"/>
    <w:rsid w:val="00A92425"/>
    <w:rsid w:val="00A9246B"/>
    <w:rsid w:val="00A92639"/>
    <w:rsid w:val="00A939B7"/>
    <w:rsid w:val="00A941C6"/>
    <w:rsid w:val="00A945FD"/>
    <w:rsid w:val="00A94975"/>
    <w:rsid w:val="00A9526E"/>
    <w:rsid w:val="00A95347"/>
    <w:rsid w:val="00A958AA"/>
    <w:rsid w:val="00A959F9"/>
    <w:rsid w:val="00A95C1C"/>
    <w:rsid w:val="00A964C5"/>
    <w:rsid w:val="00A97125"/>
    <w:rsid w:val="00A97A45"/>
    <w:rsid w:val="00AA06F2"/>
    <w:rsid w:val="00AA0864"/>
    <w:rsid w:val="00AA13FE"/>
    <w:rsid w:val="00AA28C2"/>
    <w:rsid w:val="00AA3A8C"/>
    <w:rsid w:val="00AA3B32"/>
    <w:rsid w:val="00AA3C0B"/>
    <w:rsid w:val="00AA3F6E"/>
    <w:rsid w:val="00AA45C7"/>
    <w:rsid w:val="00AA4F72"/>
    <w:rsid w:val="00AA4FD4"/>
    <w:rsid w:val="00AA519A"/>
    <w:rsid w:val="00AA5482"/>
    <w:rsid w:val="00AA6360"/>
    <w:rsid w:val="00AA6DDF"/>
    <w:rsid w:val="00AA78AF"/>
    <w:rsid w:val="00AB0770"/>
    <w:rsid w:val="00AB0A52"/>
    <w:rsid w:val="00AB103B"/>
    <w:rsid w:val="00AB1235"/>
    <w:rsid w:val="00AB1365"/>
    <w:rsid w:val="00AB15F1"/>
    <w:rsid w:val="00AB160F"/>
    <w:rsid w:val="00AB17F5"/>
    <w:rsid w:val="00AB1C43"/>
    <w:rsid w:val="00AB2D0A"/>
    <w:rsid w:val="00AB3647"/>
    <w:rsid w:val="00AB48C4"/>
    <w:rsid w:val="00AB4953"/>
    <w:rsid w:val="00AB5323"/>
    <w:rsid w:val="00AB53E2"/>
    <w:rsid w:val="00AB6003"/>
    <w:rsid w:val="00AB6847"/>
    <w:rsid w:val="00AB6AE3"/>
    <w:rsid w:val="00AB6B62"/>
    <w:rsid w:val="00AB741D"/>
    <w:rsid w:val="00AB7A6C"/>
    <w:rsid w:val="00AC0292"/>
    <w:rsid w:val="00AC1067"/>
    <w:rsid w:val="00AC16F7"/>
    <w:rsid w:val="00AC1801"/>
    <w:rsid w:val="00AC1CDD"/>
    <w:rsid w:val="00AC1E75"/>
    <w:rsid w:val="00AC2546"/>
    <w:rsid w:val="00AC2701"/>
    <w:rsid w:val="00AC2E54"/>
    <w:rsid w:val="00AC309E"/>
    <w:rsid w:val="00AC4E56"/>
    <w:rsid w:val="00AC5043"/>
    <w:rsid w:val="00AC56EF"/>
    <w:rsid w:val="00AC6830"/>
    <w:rsid w:val="00AD0614"/>
    <w:rsid w:val="00AD0927"/>
    <w:rsid w:val="00AD09E4"/>
    <w:rsid w:val="00AD0EA2"/>
    <w:rsid w:val="00AD0F05"/>
    <w:rsid w:val="00AD1EC5"/>
    <w:rsid w:val="00AD1F3B"/>
    <w:rsid w:val="00AD235F"/>
    <w:rsid w:val="00AD2734"/>
    <w:rsid w:val="00AD3A85"/>
    <w:rsid w:val="00AD3D97"/>
    <w:rsid w:val="00AD40DD"/>
    <w:rsid w:val="00AD413A"/>
    <w:rsid w:val="00AD4751"/>
    <w:rsid w:val="00AD477F"/>
    <w:rsid w:val="00AD4C3F"/>
    <w:rsid w:val="00AD6258"/>
    <w:rsid w:val="00AD640A"/>
    <w:rsid w:val="00AD69E7"/>
    <w:rsid w:val="00AD6A19"/>
    <w:rsid w:val="00AD6A80"/>
    <w:rsid w:val="00AD77EB"/>
    <w:rsid w:val="00AD7F54"/>
    <w:rsid w:val="00AE11DD"/>
    <w:rsid w:val="00AE16DE"/>
    <w:rsid w:val="00AE172A"/>
    <w:rsid w:val="00AE1A00"/>
    <w:rsid w:val="00AE1F04"/>
    <w:rsid w:val="00AE23EF"/>
    <w:rsid w:val="00AE2AE1"/>
    <w:rsid w:val="00AE2DE9"/>
    <w:rsid w:val="00AE30FA"/>
    <w:rsid w:val="00AE3403"/>
    <w:rsid w:val="00AE3644"/>
    <w:rsid w:val="00AE36B6"/>
    <w:rsid w:val="00AE44C4"/>
    <w:rsid w:val="00AE4ED9"/>
    <w:rsid w:val="00AE545A"/>
    <w:rsid w:val="00AE6B46"/>
    <w:rsid w:val="00AE6E05"/>
    <w:rsid w:val="00AE711A"/>
    <w:rsid w:val="00AE7F38"/>
    <w:rsid w:val="00AF0868"/>
    <w:rsid w:val="00AF0CBC"/>
    <w:rsid w:val="00AF0F62"/>
    <w:rsid w:val="00AF1165"/>
    <w:rsid w:val="00AF1C12"/>
    <w:rsid w:val="00AF201A"/>
    <w:rsid w:val="00AF2459"/>
    <w:rsid w:val="00AF2AA4"/>
    <w:rsid w:val="00AF2CD6"/>
    <w:rsid w:val="00AF3361"/>
    <w:rsid w:val="00AF3721"/>
    <w:rsid w:val="00AF3CBB"/>
    <w:rsid w:val="00AF445E"/>
    <w:rsid w:val="00AF4FA0"/>
    <w:rsid w:val="00AF555E"/>
    <w:rsid w:val="00AF57A2"/>
    <w:rsid w:val="00AF5A5D"/>
    <w:rsid w:val="00AF6641"/>
    <w:rsid w:val="00AF6940"/>
    <w:rsid w:val="00AF6A82"/>
    <w:rsid w:val="00AF74E2"/>
    <w:rsid w:val="00AF753D"/>
    <w:rsid w:val="00AF7A75"/>
    <w:rsid w:val="00B00484"/>
    <w:rsid w:val="00B0085A"/>
    <w:rsid w:val="00B00A8E"/>
    <w:rsid w:val="00B01241"/>
    <w:rsid w:val="00B01946"/>
    <w:rsid w:val="00B02A3C"/>
    <w:rsid w:val="00B02AB3"/>
    <w:rsid w:val="00B0334C"/>
    <w:rsid w:val="00B033C2"/>
    <w:rsid w:val="00B03680"/>
    <w:rsid w:val="00B03683"/>
    <w:rsid w:val="00B04169"/>
    <w:rsid w:val="00B057B5"/>
    <w:rsid w:val="00B0589C"/>
    <w:rsid w:val="00B05B30"/>
    <w:rsid w:val="00B05B60"/>
    <w:rsid w:val="00B05FF2"/>
    <w:rsid w:val="00B0658B"/>
    <w:rsid w:val="00B0691F"/>
    <w:rsid w:val="00B06A62"/>
    <w:rsid w:val="00B06C2F"/>
    <w:rsid w:val="00B06E88"/>
    <w:rsid w:val="00B07120"/>
    <w:rsid w:val="00B0768A"/>
    <w:rsid w:val="00B07770"/>
    <w:rsid w:val="00B10081"/>
    <w:rsid w:val="00B101BE"/>
    <w:rsid w:val="00B10418"/>
    <w:rsid w:val="00B113A4"/>
    <w:rsid w:val="00B117E9"/>
    <w:rsid w:val="00B11CF6"/>
    <w:rsid w:val="00B12D70"/>
    <w:rsid w:val="00B149A6"/>
    <w:rsid w:val="00B15C2C"/>
    <w:rsid w:val="00B15D13"/>
    <w:rsid w:val="00B17601"/>
    <w:rsid w:val="00B204BE"/>
    <w:rsid w:val="00B20BE0"/>
    <w:rsid w:val="00B21223"/>
    <w:rsid w:val="00B21A3E"/>
    <w:rsid w:val="00B23635"/>
    <w:rsid w:val="00B24FCE"/>
    <w:rsid w:val="00B25BF7"/>
    <w:rsid w:val="00B25E52"/>
    <w:rsid w:val="00B25FD7"/>
    <w:rsid w:val="00B2642F"/>
    <w:rsid w:val="00B26A98"/>
    <w:rsid w:val="00B27C76"/>
    <w:rsid w:val="00B27E5A"/>
    <w:rsid w:val="00B30BB4"/>
    <w:rsid w:val="00B3112D"/>
    <w:rsid w:val="00B3219A"/>
    <w:rsid w:val="00B32451"/>
    <w:rsid w:val="00B325C4"/>
    <w:rsid w:val="00B32638"/>
    <w:rsid w:val="00B335C2"/>
    <w:rsid w:val="00B336D9"/>
    <w:rsid w:val="00B33AD2"/>
    <w:rsid w:val="00B34511"/>
    <w:rsid w:val="00B3501A"/>
    <w:rsid w:val="00B3503F"/>
    <w:rsid w:val="00B35456"/>
    <w:rsid w:val="00B35667"/>
    <w:rsid w:val="00B35BE0"/>
    <w:rsid w:val="00B35F54"/>
    <w:rsid w:val="00B36875"/>
    <w:rsid w:val="00B3796C"/>
    <w:rsid w:val="00B379F4"/>
    <w:rsid w:val="00B37CA6"/>
    <w:rsid w:val="00B402CC"/>
    <w:rsid w:val="00B40D30"/>
    <w:rsid w:val="00B4103F"/>
    <w:rsid w:val="00B41303"/>
    <w:rsid w:val="00B4184A"/>
    <w:rsid w:val="00B419EB"/>
    <w:rsid w:val="00B41ABB"/>
    <w:rsid w:val="00B446B4"/>
    <w:rsid w:val="00B45344"/>
    <w:rsid w:val="00B45641"/>
    <w:rsid w:val="00B456E4"/>
    <w:rsid w:val="00B45A57"/>
    <w:rsid w:val="00B4642F"/>
    <w:rsid w:val="00B465AC"/>
    <w:rsid w:val="00B46AF0"/>
    <w:rsid w:val="00B4716C"/>
    <w:rsid w:val="00B471ED"/>
    <w:rsid w:val="00B50372"/>
    <w:rsid w:val="00B5140C"/>
    <w:rsid w:val="00B516A3"/>
    <w:rsid w:val="00B51A46"/>
    <w:rsid w:val="00B535AD"/>
    <w:rsid w:val="00B53C6C"/>
    <w:rsid w:val="00B5446A"/>
    <w:rsid w:val="00B545E6"/>
    <w:rsid w:val="00B553E6"/>
    <w:rsid w:val="00B55C96"/>
    <w:rsid w:val="00B55D6E"/>
    <w:rsid w:val="00B56425"/>
    <w:rsid w:val="00B5685D"/>
    <w:rsid w:val="00B56AFF"/>
    <w:rsid w:val="00B56D20"/>
    <w:rsid w:val="00B56DBD"/>
    <w:rsid w:val="00B5747B"/>
    <w:rsid w:val="00B57495"/>
    <w:rsid w:val="00B603C7"/>
    <w:rsid w:val="00B6126C"/>
    <w:rsid w:val="00B61DA0"/>
    <w:rsid w:val="00B61E95"/>
    <w:rsid w:val="00B61FA0"/>
    <w:rsid w:val="00B62C59"/>
    <w:rsid w:val="00B63AFD"/>
    <w:rsid w:val="00B640B0"/>
    <w:rsid w:val="00B644F1"/>
    <w:rsid w:val="00B64624"/>
    <w:rsid w:val="00B64D2A"/>
    <w:rsid w:val="00B65044"/>
    <w:rsid w:val="00B6591F"/>
    <w:rsid w:val="00B65FD1"/>
    <w:rsid w:val="00B673B9"/>
    <w:rsid w:val="00B67ADA"/>
    <w:rsid w:val="00B70BFE"/>
    <w:rsid w:val="00B70D57"/>
    <w:rsid w:val="00B70F7A"/>
    <w:rsid w:val="00B71043"/>
    <w:rsid w:val="00B71262"/>
    <w:rsid w:val="00B723CE"/>
    <w:rsid w:val="00B725DA"/>
    <w:rsid w:val="00B72E78"/>
    <w:rsid w:val="00B72E8D"/>
    <w:rsid w:val="00B7413B"/>
    <w:rsid w:val="00B742B8"/>
    <w:rsid w:val="00B75241"/>
    <w:rsid w:val="00B7688E"/>
    <w:rsid w:val="00B776E2"/>
    <w:rsid w:val="00B77E19"/>
    <w:rsid w:val="00B80342"/>
    <w:rsid w:val="00B80569"/>
    <w:rsid w:val="00B80838"/>
    <w:rsid w:val="00B8111B"/>
    <w:rsid w:val="00B81A26"/>
    <w:rsid w:val="00B82937"/>
    <w:rsid w:val="00B829AD"/>
    <w:rsid w:val="00B82B1C"/>
    <w:rsid w:val="00B82FFB"/>
    <w:rsid w:val="00B83385"/>
    <w:rsid w:val="00B83845"/>
    <w:rsid w:val="00B83E49"/>
    <w:rsid w:val="00B84975"/>
    <w:rsid w:val="00B84ABA"/>
    <w:rsid w:val="00B84F28"/>
    <w:rsid w:val="00B85900"/>
    <w:rsid w:val="00B86192"/>
    <w:rsid w:val="00B8658F"/>
    <w:rsid w:val="00B867AE"/>
    <w:rsid w:val="00B86DE6"/>
    <w:rsid w:val="00B872A9"/>
    <w:rsid w:val="00B87DB8"/>
    <w:rsid w:val="00B902DB"/>
    <w:rsid w:val="00B9062E"/>
    <w:rsid w:val="00B90A24"/>
    <w:rsid w:val="00B90A69"/>
    <w:rsid w:val="00B910DF"/>
    <w:rsid w:val="00B9147B"/>
    <w:rsid w:val="00B91F11"/>
    <w:rsid w:val="00B92052"/>
    <w:rsid w:val="00B9241A"/>
    <w:rsid w:val="00B94B08"/>
    <w:rsid w:val="00B95D99"/>
    <w:rsid w:val="00B96F5F"/>
    <w:rsid w:val="00BA0350"/>
    <w:rsid w:val="00BA08B4"/>
    <w:rsid w:val="00BA091D"/>
    <w:rsid w:val="00BA102F"/>
    <w:rsid w:val="00BA1939"/>
    <w:rsid w:val="00BA229F"/>
    <w:rsid w:val="00BA2EFD"/>
    <w:rsid w:val="00BA3190"/>
    <w:rsid w:val="00BA38EF"/>
    <w:rsid w:val="00BA3C87"/>
    <w:rsid w:val="00BA3F49"/>
    <w:rsid w:val="00BA454E"/>
    <w:rsid w:val="00BA4EAD"/>
    <w:rsid w:val="00BA51BF"/>
    <w:rsid w:val="00BA53D6"/>
    <w:rsid w:val="00BA5DDD"/>
    <w:rsid w:val="00BA5E7E"/>
    <w:rsid w:val="00BA5FE7"/>
    <w:rsid w:val="00BA65F4"/>
    <w:rsid w:val="00BA6DB4"/>
    <w:rsid w:val="00BA7284"/>
    <w:rsid w:val="00BA7A53"/>
    <w:rsid w:val="00BA7CDF"/>
    <w:rsid w:val="00BA7DFE"/>
    <w:rsid w:val="00BB0160"/>
    <w:rsid w:val="00BB0A71"/>
    <w:rsid w:val="00BB1787"/>
    <w:rsid w:val="00BB1A15"/>
    <w:rsid w:val="00BB1F19"/>
    <w:rsid w:val="00BB2694"/>
    <w:rsid w:val="00BB2912"/>
    <w:rsid w:val="00BB2D58"/>
    <w:rsid w:val="00BB3C27"/>
    <w:rsid w:val="00BB3E25"/>
    <w:rsid w:val="00BB43A4"/>
    <w:rsid w:val="00BB447B"/>
    <w:rsid w:val="00BB50E1"/>
    <w:rsid w:val="00BB5B50"/>
    <w:rsid w:val="00BB5E61"/>
    <w:rsid w:val="00BB6350"/>
    <w:rsid w:val="00BB69C3"/>
    <w:rsid w:val="00BB70BC"/>
    <w:rsid w:val="00BB7C7E"/>
    <w:rsid w:val="00BC0410"/>
    <w:rsid w:val="00BC08C6"/>
    <w:rsid w:val="00BC0BA6"/>
    <w:rsid w:val="00BC0C11"/>
    <w:rsid w:val="00BC0EE0"/>
    <w:rsid w:val="00BC0F0E"/>
    <w:rsid w:val="00BC1C94"/>
    <w:rsid w:val="00BC1F41"/>
    <w:rsid w:val="00BC2898"/>
    <w:rsid w:val="00BC2991"/>
    <w:rsid w:val="00BC29C9"/>
    <w:rsid w:val="00BC2A50"/>
    <w:rsid w:val="00BC2F8D"/>
    <w:rsid w:val="00BC310D"/>
    <w:rsid w:val="00BC3441"/>
    <w:rsid w:val="00BC347B"/>
    <w:rsid w:val="00BC3B20"/>
    <w:rsid w:val="00BC3BE7"/>
    <w:rsid w:val="00BC3E75"/>
    <w:rsid w:val="00BC4B07"/>
    <w:rsid w:val="00BC4E34"/>
    <w:rsid w:val="00BC542B"/>
    <w:rsid w:val="00BC7247"/>
    <w:rsid w:val="00BD028B"/>
    <w:rsid w:val="00BD0874"/>
    <w:rsid w:val="00BD0D71"/>
    <w:rsid w:val="00BD1D0F"/>
    <w:rsid w:val="00BD1F9A"/>
    <w:rsid w:val="00BD21E1"/>
    <w:rsid w:val="00BD2705"/>
    <w:rsid w:val="00BD398F"/>
    <w:rsid w:val="00BD3F92"/>
    <w:rsid w:val="00BD40D6"/>
    <w:rsid w:val="00BD4CC6"/>
    <w:rsid w:val="00BD4D42"/>
    <w:rsid w:val="00BD53D7"/>
    <w:rsid w:val="00BD54A9"/>
    <w:rsid w:val="00BD60CF"/>
    <w:rsid w:val="00BD6115"/>
    <w:rsid w:val="00BD705A"/>
    <w:rsid w:val="00BD734D"/>
    <w:rsid w:val="00BD74DC"/>
    <w:rsid w:val="00BE01AD"/>
    <w:rsid w:val="00BE0350"/>
    <w:rsid w:val="00BE0395"/>
    <w:rsid w:val="00BE084E"/>
    <w:rsid w:val="00BE0AAF"/>
    <w:rsid w:val="00BE10A2"/>
    <w:rsid w:val="00BE129B"/>
    <w:rsid w:val="00BE1336"/>
    <w:rsid w:val="00BE1827"/>
    <w:rsid w:val="00BE1A0F"/>
    <w:rsid w:val="00BE3660"/>
    <w:rsid w:val="00BE3708"/>
    <w:rsid w:val="00BE48E6"/>
    <w:rsid w:val="00BE4923"/>
    <w:rsid w:val="00BE4DF0"/>
    <w:rsid w:val="00BE5BF5"/>
    <w:rsid w:val="00BE6534"/>
    <w:rsid w:val="00BE65FB"/>
    <w:rsid w:val="00BE6959"/>
    <w:rsid w:val="00BE6A67"/>
    <w:rsid w:val="00BE70EB"/>
    <w:rsid w:val="00BE74FA"/>
    <w:rsid w:val="00BE7693"/>
    <w:rsid w:val="00BE7814"/>
    <w:rsid w:val="00BE7852"/>
    <w:rsid w:val="00BE799F"/>
    <w:rsid w:val="00BF09F8"/>
    <w:rsid w:val="00BF0F21"/>
    <w:rsid w:val="00BF12C7"/>
    <w:rsid w:val="00BF13E1"/>
    <w:rsid w:val="00BF22D2"/>
    <w:rsid w:val="00BF29D2"/>
    <w:rsid w:val="00BF29F0"/>
    <w:rsid w:val="00BF3522"/>
    <w:rsid w:val="00BF3A1F"/>
    <w:rsid w:val="00BF3A26"/>
    <w:rsid w:val="00BF5006"/>
    <w:rsid w:val="00BF56C1"/>
    <w:rsid w:val="00BF5880"/>
    <w:rsid w:val="00BF64DF"/>
    <w:rsid w:val="00BF7559"/>
    <w:rsid w:val="00BF7AA1"/>
    <w:rsid w:val="00C00084"/>
    <w:rsid w:val="00C00489"/>
    <w:rsid w:val="00C01121"/>
    <w:rsid w:val="00C0133D"/>
    <w:rsid w:val="00C01509"/>
    <w:rsid w:val="00C015BC"/>
    <w:rsid w:val="00C01E83"/>
    <w:rsid w:val="00C01F4F"/>
    <w:rsid w:val="00C023A7"/>
    <w:rsid w:val="00C02439"/>
    <w:rsid w:val="00C04BC9"/>
    <w:rsid w:val="00C05381"/>
    <w:rsid w:val="00C05FB5"/>
    <w:rsid w:val="00C06DD0"/>
    <w:rsid w:val="00C0700B"/>
    <w:rsid w:val="00C07D7C"/>
    <w:rsid w:val="00C1174F"/>
    <w:rsid w:val="00C11B07"/>
    <w:rsid w:val="00C11F6C"/>
    <w:rsid w:val="00C132E7"/>
    <w:rsid w:val="00C13440"/>
    <w:rsid w:val="00C134B9"/>
    <w:rsid w:val="00C13EF4"/>
    <w:rsid w:val="00C14316"/>
    <w:rsid w:val="00C144AF"/>
    <w:rsid w:val="00C144D6"/>
    <w:rsid w:val="00C14810"/>
    <w:rsid w:val="00C14E94"/>
    <w:rsid w:val="00C1531D"/>
    <w:rsid w:val="00C15367"/>
    <w:rsid w:val="00C1566E"/>
    <w:rsid w:val="00C1569B"/>
    <w:rsid w:val="00C158FF"/>
    <w:rsid w:val="00C15BE3"/>
    <w:rsid w:val="00C15F96"/>
    <w:rsid w:val="00C161DC"/>
    <w:rsid w:val="00C162CF"/>
    <w:rsid w:val="00C164BF"/>
    <w:rsid w:val="00C168F2"/>
    <w:rsid w:val="00C16A5E"/>
    <w:rsid w:val="00C16B7B"/>
    <w:rsid w:val="00C16CC8"/>
    <w:rsid w:val="00C16F7E"/>
    <w:rsid w:val="00C174E8"/>
    <w:rsid w:val="00C201C3"/>
    <w:rsid w:val="00C20210"/>
    <w:rsid w:val="00C202C9"/>
    <w:rsid w:val="00C20C24"/>
    <w:rsid w:val="00C20FE6"/>
    <w:rsid w:val="00C21602"/>
    <w:rsid w:val="00C21A2A"/>
    <w:rsid w:val="00C21E52"/>
    <w:rsid w:val="00C22470"/>
    <w:rsid w:val="00C224FA"/>
    <w:rsid w:val="00C23AAE"/>
    <w:rsid w:val="00C23CD9"/>
    <w:rsid w:val="00C23ECA"/>
    <w:rsid w:val="00C24025"/>
    <w:rsid w:val="00C244B3"/>
    <w:rsid w:val="00C2596F"/>
    <w:rsid w:val="00C279DD"/>
    <w:rsid w:val="00C27C1C"/>
    <w:rsid w:val="00C27D15"/>
    <w:rsid w:val="00C30740"/>
    <w:rsid w:val="00C30C0B"/>
    <w:rsid w:val="00C311FD"/>
    <w:rsid w:val="00C3157A"/>
    <w:rsid w:val="00C31943"/>
    <w:rsid w:val="00C31CAE"/>
    <w:rsid w:val="00C3235C"/>
    <w:rsid w:val="00C32532"/>
    <w:rsid w:val="00C325FA"/>
    <w:rsid w:val="00C32E9E"/>
    <w:rsid w:val="00C3393F"/>
    <w:rsid w:val="00C33AFC"/>
    <w:rsid w:val="00C3455E"/>
    <w:rsid w:val="00C34E3F"/>
    <w:rsid w:val="00C3597D"/>
    <w:rsid w:val="00C36456"/>
    <w:rsid w:val="00C369C7"/>
    <w:rsid w:val="00C36DE2"/>
    <w:rsid w:val="00C371FD"/>
    <w:rsid w:val="00C41037"/>
    <w:rsid w:val="00C411A8"/>
    <w:rsid w:val="00C415A1"/>
    <w:rsid w:val="00C41835"/>
    <w:rsid w:val="00C4297D"/>
    <w:rsid w:val="00C4371C"/>
    <w:rsid w:val="00C44471"/>
    <w:rsid w:val="00C44635"/>
    <w:rsid w:val="00C450C0"/>
    <w:rsid w:val="00C45246"/>
    <w:rsid w:val="00C4582F"/>
    <w:rsid w:val="00C462D8"/>
    <w:rsid w:val="00C466D3"/>
    <w:rsid w:val="00C46824"/>
    <w:rsid w:val="00C46A9F"/>
    <w:rsid w:val="00C46D63"/>
    <w:rsid w:val="00C46D72"/>
    <w:rsid w:val="00C475A5"/>
    <w:rsid w:val="00C504AF"/>
    <w:rsid w:val="00C5058D"/>
    <w:rsid w:val="00C506AA"/>
    <w:rsid w:val="00C5143F"/>
    <w:rsid w:val="00C514AB"/>
    <w:rsid w:val="00C51AF6"/>
    <w:rsid w:val="00C528AD"/>
    <w:rsid w:val="00C54DC6"/>
    <w:rsid w:val="00C5574D"/>
    <w:rsid w:val="00C557F4"/>
    <w:rsid w:val="00C55928"/>
    <w:rsid w:val="00C55B01"/>
    <w:rsid w:val="00C5650B"/>
    <w:rsid w:val="00C56587"/>
    <w:rsid w:val="00C56C62"/>
    <w:rsid w:val="00C5746C"/>
    <w:rsid w:val="00C57810"/>
    <w:rsid w:val="00C6106A"/>
    <w:rsid w:val="00C61767"/>
    <w:rsid w:val="00C61D76"/>
    <w:rsid w:val="00C625A7"/>
    <w:rsid w:val="00C63755"/>
    <w:rsid w:val="00C64DBD"/>
    <w:rsid w:val="00C65858"/>
    <w:rsid w:val="00C65C01"/>
    <w:rsid w:val="00C65CCE"/>
    <w:rsid w:val="00C66459"/>
    <w:rsid w:val="00C66641"/>
    <w:rsid w:val="00C6673B"/>
    <w:rsid w:val="00C669D8"/>
    <w:rsid w:val="00C66A43"/>
    <w:rsid w:val="00C6763C"/>
    <w:rsid w:val="00C67C29"/>
    <w:rsid w:val="00C67F20"/>
    <w:rsid w:val="00C704EF"/>
    <w:rsid w:val="00C7095C"/>
    <w:rsid w:val="00C713E1"/>
    <w:rsid w:val="00C71F7D"/>
    <w:rsid w:val="00C722C8"/>
    <w:rsid w:val="00C72408"/>
    <w:rsid w:val="00C72688"/>
    <w:rsid w:val="00C726D3"/>
    <w:rsid w:val="00C72713"/>
    <w:rsid w:val="00C7311D"/>
    <w:rsid w:val="00C73443"/>
    <w:rsid w:val="00C739FA"/>
    <w:rsid w:val="00C7411A"/>
    <w:rsid w:val="00C7548F"/>
    <w:rsid w:val="00C75DDC"/>
    <w:rsid w:val="00C76028"/>
    <w:rsid w:val="00C76390"/>
    <w:rsid w:val="00C763C1"/>
    <w:rsid w:val="00C7644C"/>
    <w:rsid w:val="00C767B3"/>
    <w:rsid w:val="00C76908"/>
    <w:rsid w:val="00C76D3E"/>
    <w:rsid w:val="00C77378"/>
    <w:rsid w:val="00C77579"/>
    <w:rsid w:val="00C77779"/>
    <w:rsid w:val="00C80150"/>
    <w:rsid w:val="00C81647"/>
    <w:rsid w:val="00C82832"/>
    <w:rsid w:val="00C83635"/>
    <w:rsid w:val="00C84718"/>
    <w:rsid w:val="00C85A76"/>
    <w:rsid w:val="00C85C99"/>
    <w:rsid w:val="00C862E0"/>
    <w:rsid w:val="00C872A7"/>
    <w:rsid w:val="00C87A25"/>
    <w:rsid w:val="00C90BDD"/>
    <w:rsid w:val="00C9151B"/>
    <w:rsid w:val="00C9171F"/>
    <w:rsid w:val="00C91DA7"/>
    <w:rsid w:val="00C9201E"/>
    <w:rsid w:val="00C92079"/>
    <w:rsid w:val="00C92D1F"/>
    <w:rsid w:val="00C93735"/>
    <w:rsid w:val="00C93774"/>
    <w:rsid w:val="00C93DCE"/>
    <w:rsid w:val="00C93E1D"/>
    <w:rsid w:val="00C93F4C"/>
    <w:rsid w:val="00C93FCE"/>
    <w:rsid w:val="00C945E1"/>
    <w:rsid w:val="00C9495F"/>
    <w:rsid w:val="00C94C92"/>
    <w:rsid w:val="00C9549F"/>
    <w:rsid w:val="00C954A7"/>
    <w:rsid w:val="00C95852"/>
    <w:rsid w:val="00C95AE0"/>
    <w:rsid w:val="00C9767F"/>
    <w:rsid w:val="00C976D4"/>
    <w:rsid w:val="00CA02B8"/>
    <w:rsid w:val="00CA0A15"/>
    <w:rsid w:val="00CA0DCD"/>
    <w:rsid w:val="00CA1188"/>
    <w:rsid w:val="00CA2029"/>
    <w:rsid w:val="00CA203D"/>
    <w:rsid w:val="00CA364B"/>
    <w:rsid w:val="00CA37C0"/>
    <w:rsid w:val="00CA3B66"/>
    <w:rsid w:val="00CA3BEC"/>
    <w:rsid w:val="00CA3DE1"/>
    <w:rsid w:val="00CA538A"/>
    <w:rsid w:val="00CA5650"/>
    <w:rsid w:val="00CA6015"/>
    <w:rsid w:val="00CA61F6"/>
    <w:rsid w:val="00CA68D6"/>
    <w:rsid w:val="00CA741F"/>
    <w:rsid w:val="00CA7A30"/>
    <w:rsid w:val="00CA7C9F"/>
    <w:rsid w:val="00CB0759"/>
    <w:rsid w:val="00CB0856"/>
    <w:rsid w:val="00CB1BF3"/>
    <w:rsid w:val="00CB1C73"/>
    <w:rsid w:val="00CB1E4D"/>
    <w:rsid w:val="00CB228C"/>
    <w:rsid w:val="00CB2937"/>
    <w:rsid w:val="00CB29E8"/>
    <w:rsid w:val="00CB3119"/>
    <w:rsid w:val="00CB34AD"/>
    <w:rsid w:val="00CB3AE4"/>
    <w:rsid w:val="00CB3D83"/>
    <w:rsid w:val="00CB3FBE"/>
    <w:rsid w:val="00CB443E"/>
    <w:rsid w:val="00CB4DC7"/>
    <w:rsid w:val="00CB4E47"/>
    <w:rsid w:val="00CB509E"/>
    <w:rsid w:val="00CB56AF"/>
    <w:rsid w:val="00CB5B37"/>
    <w:rsid w:val="00CB5DC9"/>
    <w:rsid w:val="00CB5E28"/>
    <w:rsid w:val="00CB6E62"/>
    <w:rsid w:val="00CB716B"/>
    <w:rsid w:val="00CB75CE"/>
    <w:rsid w:val="00CB7D31"/>
    <w:rsid w:val="00CC0FD3"/>
    <w:rsid w:val="00CC3200"/>
    <w:rsid w:val="00CC3590"/>
    <w:rsid w:val="00CC3629"/>
    <w:rsid w:val="00CC5359"/>
    <w:rsid w:val="00CC5B09"/>
    <w:rsid w:val="00CC6065"/>
    <w:rsid w:val="00CC64B2"/>
    <w:rsid w:val="00CC650C"/>
    <w:rsid w:val="00CC65B9"/>
    <w:rsid w:val="00CC66CF"/>
    <w:rsid w:val="00CC66EA"/>
    <w:rsid w:val="00CC6CD1"/>
    <w:rsid w:val="00CC78B4"/>
    <w:rsid w:val="00CC79A1"/>
    <w:rsid w:val="00CC7D70"/>
    <w:rsid w:val="00CD0305"/>
    <w:rsid w:val="00CD25AA"/>
    <w:rsid w:val="00CD35A6"/>
    <w:rsid w:val="00CD37A5"/>
    <w:rsid w:val="00CD3C34"/>
    <w:rsid w:val="00CD4315"/>
    <w:rsid w:val="00CD45DF"/>
    <w:rsid w:val="00CD4ACF"/>
    <w:rsid w:val="00CD4DF5"/>
    <w:rsid w:val="00CD520E"/>
    <w:rsid w:val="00CD59A6"/>
    <w:rsid w:val="00CD59BF"/>
    <w:rsid w:val="00CD5FE2"/>
    <w:rsid w:val="00CD67A6"/>
    <w:rsid w:val="00CD6D86"/>
    <w:rsid w:val="00CD7187"/>
    <w:rsid w:val="00CE08F1"/>
    <w:rsid w:val="00CE1222"/>
    <w:rsid w:val="00CE1A32"/>
    <w:rsid w:val="00CE1ADD"/>
    <w:rsid w:val="00CE1E24"/>
    <w:rsid w:val="00CE224F"/>
    <w:rsid w:val="00CE2318"/>
    <w:rsid w:val="00CE237C"/>
    <w:rsid w:val="00CE253A"/>
    <w:rsid w:val="00CE2F4D"/>
    <w:rsid w:val="00CE2FCD"/>
    <w:rsid w:val="00CE3829"/>
    <w:rsid w:val="00CE3CCB"/>
    <w:rsid w:val="00CE40A8"/>
    <w:rsid w:val="00CE4140"/>
    <w:rsid w:val="00CE4822"/>
    <w:rsid w:val="00CE4B1C"/>
    <w:rsid w:val="00CE522C"/>
    <w:rsid w:val="00CE5688"/>
    <w:rsid w:val="00CE570F"/>
    <w:rsid w:val="00CE588C"/>
    <w:rsid w:val="00CE5D4F"/>
    <w:rsid w:val="00CE70A2"/>
    <w:rsid w:val="00CE735A"/>
    <w:rsid w:val="00CE73AB"/>
    <w:rsid w:val="00CE7EEB"/>
    <w:rsid w:val="00CF03B8"/>
    <w:rsid w:val="00CF0517"/>
    <w:rsid w:val="00CF082A"/>
    <w:rsid w:val="00CF0D56"/>
    <w:rsid w:val="00CF0D9F"/>
    <w:rsid w:val="00CF1C65"/>
    <w:rsid w:val="00CF1E32"/>
    <w:rsid w:val="00CF2958"/>
    <w:rsid w:val="00CF2F0D"/>
    <w:rsid w:val="00CF369D"/>
    <w:rsid w:val="00CF3727"/>
    <w:rsid w:val="00CF3E0B"/>
    <w:rsid w:val="00CF4592"/>
    <w:rsid w:val="00CF51E8"/>
    <w:rsid w:val="00CF575A"/>
    <w:rsid w:val="00CF59B5"/>
    <w:rsid w:val="00CF5C32"/>
    <w:rsid w:val="00CF60FD"/>
    <w:rsid w:val="00CF7FC3"/>
    <w:rsid w:val="00D00166"/>
    <w:rsid w:val="00D007EC"/>
    <w:rsid w:val="00D00F0A"/>
    <w:rsid w:val="00D011DB"/>
    <w:rsid w:val="00D016C3"/>
    <w:rsid w:val="00D01714"/>
    <w:rsid w:val="00D017A5"/>
    <w:rsid w:val="00D01894"/>
    <w:rsid w:val="00D029B5"/>
    <w:rsid w:val="00D0314F"/>
    <w:rsid w:val="00D03174"/>
    <w:rsid w:val="00D031CD"/>
    <w:rsid w:val="00D03545"/>
    <w:rsid w:val="00D042BF"/>
    <w:rsid w:val="00D042F8"/>
    <w:rsid w:val="00D044FA"/>
    <w:rsid w:val="00D04701"/>
    <w:rsid w:val="00D04A36"/>
    <w:rsid w:val="00D050C4"/>
    <w:rsid w:val="00D0572F"/>
    <w:rsid w:val="00D059EC"/>
    <w:rsid w:val="00D062A3"/>
    <w:rsid w:val="00D07F18"/>
    <w:rsid w:val="00D108E6"/>
    <w:rsid w:val="00D11602"/>
    <w:rsid w:val="00D119B3"/>
    <w:rsid w:val="00D136ED"/>
    <w:rsid w:val="00D138B3"/>
    <w:rsid w:val="00D138D5"/>
    <w:rsid w:val="00D13AC1"/>
    <w:rsid w:val="00D13EAC"/>
    <w:rsid w:val="00D146BE"/>
    <w:rsid w:val="00D148E7"/>
    <w:rsid w:val="00D14C68"/>
    <w:rsid w:val="00D15709"/>
    <w:rsid w:val="00D15B31"/>
    <w:rsid w:val="00D16072"/>
    <w:rsid w:val="00D16543"/>
    <w:rsid w:val="00D16DFE"/>
    <w:rsid w:val="00D17864"/>
    <w:rsid w:val="00D201A5"/>
    <w:rsid w:val="00D20CBF"/>
    <w:rsid w:val="00D20D55"/>
    <w:rsid w:val="00D223CA"/>
    <w:rsid w:val="00D228E5"/>
    <w:rsid w:val="00D22B8E"/>
    <w:rsid w:val="00D22D71"/>
    <w:rsid w:val="00D22DB6"/>
    <w:rsid w:val="00D22DEB"/>
    <w:rsid w:val="00D230DE"/>
    <w:rsid w:val="00D23421"/>
    <w:rsid w:val="00D23686"/>
    <w:rsid w:val="00D23962"/>
    <w:rsid w:val="00D23EC8"/>
    <w:rsid w:val="00D26B3D"/>
    <w:rsid w:val="00D26F86"/>
    <w:rsid w:val="00D2730C"/>
    <w:rsid w:val="00D27357"/>
    <w:rsid w:val="00D27F2A"/>
    <w:rsid w:val="00D303EE"/>
    <w:rsid w:val="00D3084E"/>
    <w:rsid w:val="00D30B8B"/>
    <w:rsid w:val="00D30C7D"/>
    <w:rsid w:val="00D31145"/>
    <w:rsid w:val="00D32445"/>
    <w:rsid w:val="00D3250C"/>
    <w:rsid w:val="00D330B7"/>
    <w:rsid w:val="00D33171"/>
    <w:rsid w:val="00D332AF"/>
    <w:rsid w:val="00D33BAB"/>
    <w:rsid w:val="00D33DC8"/>
    <w:rsid w:val="00D3413C"/>
    <w:rsid w:val="00D346D1"/>
    <w:rsid w:val="00D3507C"/>
    <w:rsid w:val="00D355AF"/>
    <w:rsid w:val="00D35B5C"/>
    <w:rsid w:val="00D36ABA"/>
    <w:rsid w:val="00D37086"/>
    <w:rsid w:val="00D37920"/>
    <w:rsid w:val="00D37941"/>
    <w:rsid w:val="00D37AFF"/>
    <w:rsid w:val="00D4162A"/>
    <w:rsid w:val="00D41B2F"/>
    <w:rsid w:val="00D430D1"/>
    <w:rsid w:val="00D436D9"/>
    <w:rsid w:val="00D43B65"/>
    <w:rsid w:val="00D44BCC"/>
    <w:rsid w:val="00D45BA8"/>
    <w:rsid w:val="00D46250"/>
    <w:rsid w:val="00D47B06"/>
    <w:rsid w:val="00D47DE7"/>
    <w:rsid w:val="00D5000D"/>
    <w:rsid w:val="00D50515"/>
    <w:rsid w:val="00D5198E"/>
    <w:rsid w:val="00D52304"/>
    <w:rsid w:val="00D54A1A"/>
    <w:rsid w:val="00D54F1C"/>
    <w:rsid w:val="00D55B6A"/>
    <w:rsid w:val="00D5785C"/>
    <w:rsid w:val="00D57CA5"/>
    <w:rsid w:val="00D57E26"/>
    <w:rsid w:val="00D609B8"/>
    <w:rsid w:val="00D6124F"/>
    <w:rsid w:val="00D61436"/>
    <w:rsid w:val="00D620AF"/>
    <w:rsid w:val="00D623E8"/>
    <w:rsid w:val="00D624BF"/>
    <w:rsid w:val="00D62DF1"/>
    <w:rsid w:val="00D63272"/>
    <w:rsid w:val="00D633C9"/>
    <w:rsid w:val="00D63AE7"/>
    <w:rsid w:val="00D63CF7"/>
    <w:rsid w:val="00D643C5"/>
    <w:rsid w:val="00D644E9"/>
    <w:rsid w:val="00D648C9"/>
    <w:rsid w:val="00D6506A"/>
    <w:rsid w:val="00D650D2"/>
    <w:rsid w:val="00D650D8"/>
    <w:rsid w:val="00D667C4"/>
    <w:rsid w:val="00D6694D"/>
    <w:rsid w:val="00D66EA5"/>
    <w:rsid w:val="00D66F61"/>
    <w:rsid w:val="00D67256"/>
    <w:rsid w:val="00D67849"/>
    <w:rsid w:val="00D679A8"/>
    <w:rsid w:val="00D7128F"/>
    <w:rsid w:val="00D7152F"/>
    <w:rsid w:val="00D728C8"/>
    <w:rsid w:val="00D72BF7"/>
    <w:rsid w:val="00D7322A"/>
    <w:rsid w:val="00D733F9"/>
    <w:rsid w:val="00D73735"/>
    <w:rsid w:val="00D740EA"/>
    <w:rsid w:val="00D748D4"/>
    <w:rsid w:val="00D749AB"/>
    <w:rsid w:val="00D74B21"/>
    <w:rsid w:val="00D74CCB"/>
    <w:rsid w:val="00D74FB8"/>
    <w:rsid w:val="00D76146"/>
    <w:rsid w:val="00D76EAD"/>
    <w:rsid w:val="00D801EE"/>
    <w:rsid w:val="00D803F7"/>
    <w:rsid w:val="00D8045F"/>
    <w:rsid w:val="00D80CA1"/>
    <w:rsid w:val="00D81014"/>
    <w:rsid w:val="00D81822"/>
    <w:rsid w:val="00D81E0B"/>
    <w:rsid w:val="00D81F72"/>
    <w:rsid w:val="00D82159"/>
    <w:rsid w:val="00D824BA"/>
    <w:rsid w:val="00D8302B"/>
    <w:rsid w:val="00D830FD"/>
    <w:rsid w:val="00D832C1"/>
    <w:rsid w:val="00D83E59"/>
    <w:rsid w:val="00D8405E"/>
    <w:rsid w:val="00D84903"/>
    <w:rsid w:val="00D84EDE"/>
    <w:rsid w:val="00D84F25"/>
    <w:rsid w:val="00D85339"/>
    <w:rsid w:val="00D85442"/>
    <w:rsid w:val="00D85A5B"/>
    <w:rsid w:val="00D85A96"/>
    <w:rsid w:val="00D85D6C"/>
    <w:rsid w:val="00D86BAC"/>
    <w:rsid w:val="00D87148"/>
    <w:rsid w:val="00D8750A"/>
    <w:rsid w:val="00D87FF8"/>
    <w:rsid w:val="00D90E1C"/>
    <w:rsid w:val="00D9105D"/>
    <w:rsid w:val="00D915DA"/>
    <w:rsid w:val="00D916F5"/>
    <w:rsid w:val="00D91E5F"/>
    <w:rsid w:val="00D9465D"/>
    <w:rsid w:val="00D94BCF"/>
    <w:rsid w:val="00D94C91"/>
    <w:rsid w:val="00D95615"/>
    <w:rsid w:val="00D966A6"/>
    <w:rsid w:val="00D96914"/>
    <w:rsid w:val="00D96A47"/>
    <w:rsid w:val="00D971C0"/>
    <w:rsid w:val="00DA03DA"/>
    <w:rsid w:val="00DA04E6"/>
    <w:rsid w:val="00DA0BCD"/>
    <w:rsid w:val="00DA1023"/>
    <w:rsid w:val="00DA16FE"/>
    <w:rsid w:val="00DA1B14"/>
    <w:rsid w:val="00DA1D04"/>
    <w:rsid w:val="00DA1E7A"/>
    <w:rsid w:val="00DA22B0"/>
    <w:rsid w:val="00DA2372"/>
    <w:rsid w:val="00DA2D25"/>
    <w:rsid w:val="00DA343F"/>
    <w:rsid w:val="00DA34A1"/>
    <w:rsid w:val="00DA3546"/>
    <w:rsid w:val="00DA379E"/>
    <w:rsid w:val="00DA3D69"/>
    <w:rsid w:val="00DA4B86"/>
    <w:rsid w:val="00DA567F"/>
    <w:rsid w:val="00DA5F55"/>
    <w:rsid w:val="00DA6F91"/>
    <w:rsid w:val="00DA6FC4"/>
    <w:rsid w:val="00DA7540"/>
    <w:rsid w:val="00DA7B95"/>
    <w:rsid w:val="00DB09AA"/>
    <w:rsid w:val="00DB12AF"/>
    <w:rsid w:val="00DB12DE"/>
    <w:rsid w:val="00DB1988"/>
    <w:rsid w:val="00DB19A2"/>
    <w:rsid w:val="00DB1A6D"/>
    <w:rsid w:val="00DB1C25"/>
    <w:rsid w:val="00DB1CB5"/>
    <w:rsid w:val="00DB25F9"/>
    <w:rsid w:val="00DB3379"/>
    <w:rsid w:val="00DB34F1"/>
    <w:rsid w:val="00DB4A46"/>
    <w:rsid w:val="00DB4CAD"/>
    <w:rsid w:val="00DB6624"/>
    <w:rsid w:val="00DB671A"/>
    <w:rsid w:val="00DC08CD"/>
    <w:rsid w:val="00DC0C7D"/>
    <w:rsid w:val="00DC1878"/>
    <w:rsid w:val="00DC2CBB"/>
    <w:rsid w:val="00DC30F3"/>
    <w:rsid w:val="00DC3436"/>
    <w:rsid w:val="00DC34C9"/>
    <w:rsid w:val="00DC433E"/>
    <w:rsid w:val="00DC4A89"/>
    <w:rsid w:val="00DC4D12"/>
    <w:rsid w:val="00DC50EA"/>
    <w:rsid w:val="00DC5966"/>
    <w:rsid w:val="00DC59EA"/>
    <w:rsid w:val="00DC63DE"/>
    <w:rsid w:val="00DC6568"/>
    <w:rsid w:val="00DD068E"/>
    <w:rsid w:val="00DD0D78"/>
    <w:rsid w:val="00DD1788"/>
    <w:rsid w:val="00DD182C"/>
    <w:rsid w:val="00DD21D9"/>
    <w:rsid w:val="00DD244C"/>
    <w:rsid w:val="00DD27F0"/>
    <w:rsid w:val="00DD2AB8"/>
    <w:rsid w:val="00DD5118"/>
    <w:rsid w:val="00DD62FF"/>
    <w:rsid w:val="00DD6ABA"/>
    <w:rsid w:val="00DD6EF7"/>
    <w:rsid w:val="00DD706B"/>
    <w:rsid w:val="00DD7585"/>
    <w:rsid w:val="00DE039B"/>
    <w:rsid w:val="00DE0ACF"/>
    <w:rsid w:val="00DE1B37"/>
    <w:rsid w:val="00DE201A"/>
    <w:rsid w:val="00DE2CA6"/>
    <w:rsid w:val="00DE2D76"/>
    <w:rsid w:val="00DE3421"/>
    <w:rsid w:val="00DE364C"/>
    <w:rsid w:val="00DE3C73"/>
    <w:rsid w:val="00DE44DF"/>
    <w:rsid w:val="00DE4E4E"/>
    <w:rsid w:val="00DE5638"/>
    <w:rsid w:val="00DE5CDE"/>
    <w:rsid w:val="00DE63CC"/>
    <w:rsid w:val="00DE6703"/>
    <w:rsid w:val="00DE6967"/>
    <w:rsid w:val="00DE6B68"/>
    <w:rsid w:val="00DE6C52"/>
    <w:rsid w:val="00DE7327"/>
    <w:rsid w:val="00DE73EA"/>
    <w:rsid w:val="00DF0221"/>
    <w:rsid w:val="00DF1629"/>
    <w:rsid w:val="00DF1BDA"/>
    <w:rsid w:val="00DF20B2"/>
    <w:rsid w:val="00DF2B29"/>
    <w:rsid w:val="00DF3AD9"/>
    <w:rsid w:val="00DF441B"/>
    <w:rsid w:val="00DF5108"/>
    <w:rsid w:val="00DF5353"/>
    <w:rsid w:val="00DF5AAC"/>
    <w:rsid w:val="00DF5C9C"/>
    <w:rsid w:val="00DF628E"/>
    <w:rsid w:val="00DF6894"/>
    <w:rsid w:val="00DF6D08"/>
    <w:rsid w:val="00DF744A"/>
    <w:rsid w:val="00DF76D8"/>
    <w:rsid w:val="00DF78A6"/>
    <w:rsid w:val="00DF7A04"/>
    <w:rsid w:val="00DF7AA4"/>
    <w:rsid w:val="00E001E2"/>
    <w:rsid w:val="00E00B8B"/>
    <w:rsid w:val="00E0162A"/>
    <w:rsid w:val="00E01901"/>
    <w:rsid w:val="00E01935"/>
    <w:rsid w:val="00E029FC"/>
    <w:rsid w:val="00E0372A"/>
    <w:rsid w:val="00E044AA"/>
    <w:rsid w:val="00E04C18"/>
    <w:rsid w:val="00E05111"/>
    <w:rsid w:val="00E05815"/>
    <w:rsid w:val="00E05D1D"/>
    <w:rsid w:val="00E05DE1"/>
    <w:rsid w:val="00E064C4"/>
    <w:rsid w:val="00E06743"/>
    <w:rsid w:val="00E0692A"/>
    <w:rsid w:val="00E06FEA"/>
    <w:rsid w:val="00E104E4"/>
    <w:rsid w:val="00E10595"/>
    <w:rsid w:val="00E10DE2"/>
    <w:rsid w:val="00E1108B"/>
    <w:rsid w:val="00E11284"/>
    <w:rsid w:val="00E11D7F"/>
    <w:rsid w:val="00E1222C"/>
    <w:rsid w:val="00E12493"/>
    <w:rsid w:val="00E125EE"/>
    <w:rsid w:val="00E12705"/>
    <w:rsid w:val="00E12D65"/>
    <w:rsid w:val="00E12EE4"/>
    <w:rsid w:val="00E1368A"/>
    <w:rsid w:val="00E1372C"/>
    <w:rsid w:val="00E1408A"/>
    <w:rsid w:val="00E14D29"/>
    <w:rsid w:val="00E15790"/>
    <w:rsid w:val="00E15872"/>
    <w:rsid w:val="00E16341"/>
    <w:rsid w:val="00E165F1"/>
    <w:rsid w:val="00E17B91"/>
    <w:rsid w:val="00E17C24"/>
    <w:rsid w:val="00E20CF5"/>
    <w:rsid w:val="00E213AA"/>
    <w:rsid w:val="00E21743"/>
    <w:rsid w:val="00E21ACA"/>
    <w:rsid w:val="00E21E9F"/>
    <w:rsid w:val="00E220D7"/>
    <w:rsid w:val="00E22C77"/>
    <w:rsid w:val="00E22CDC"/>
    <w:rsid w:val="00E2428E"/>
    <w:rsid w:val="00E24D16"/>
    <w:rsid w:val="00E24FA3"/>
    <w:rsid w:val="00E25351"/>
    <w:rsid w:val="00E254D5"/>
    <w:rsid w:val="00E26BE4"/>
    <w:rsid w:val="00E27017"/>
    <w:rsid w:val="00E271B9"/>
    <w:rsid w:val="00E27419"/>
    <w:rsid w:val="00E30580"/>
    <w:rsid w:val="00E30669"/>
    <w:rsid w:val="00E306E8"/>
    <w:rsid w:val="00E30CD9"/>
    <w:rsid w:val="00E30E88"/>
    <w:rsid w:val="00E30E8C"/>
    <w:rsid w:val="00E3127C"/>
    <w:rsid w:val="00E31F14"/>
    <w:rsid w:val="00E32720"/>
    <w:rsid w:val="00E32D4A"/>
    <w:rsid w:val="00E32E9D"/>
    <w:rsid w:val="00E332AB"/>
    <w:rsid w:val="00E33D94"/>
    <w:rsid w:val="00E346FF"/>
    <w:rsid w:val="00E34CE1"/>
    <w:rsid w:val="00E355A0"/>
    <w:rsid w:val="00E36131"/>
    <w:rsid w:val="00E36261"/>
    <w:rsid w:val="00E369EA"/>
    <w:rsid w:val="00E377F9"/>
    <w:rsid w:val="00E40048"/>
    <w:rsid w:val="00E40099"/>
    <w:rsid w:val="00E400A3"/>
    <w:rsid w:val="00E400AD"/>
    <w:rsid w:val="00E404D1"/>
    <w:rsid w:val="00E40B21"/>
    <w:rsid w:val="00E41257"/>
    <w:rsid w:val="00E412C4"/>
    <w:rsid w:val="00E41E1E"/>
    <w:rsid w:val="00E42044"/>
    <w:rsid w:val="00E427E9"/>
    <w:rsid w:val="00E429E1"/>
    <w:rsid w:val="00E43990"/>
    <w:rsid w:val="00E43CDE"/>
    <w:rsid w:val="00E44446"/>
    <w:rsid w:val="00E44730"/>
    <w:rsid w:val="00E44785"/>
    <w:rsid w:val="00E454F2"/>
    <w:rsid w:val="00E46B17"/>
    <w:rsid w:val="00E4703B"/>
    <w:rsid w:val="00E4708E"/>
    <w:rsid w:val="00E47B67"/>
    <w:rsid w:val="00E517AA"/>
    <w:rsid w:val="00E5197D"/>
    <w:rsid w:val="00E52387"/>
    <w:rsid w:val="00E523D5"/>
    <w:rsid w:val="00E52757"/>
    <w:rsid w:val="00E5302B"/>
    <w:rsid w:val="00E5329C"/>
    <w:rsid w:val="00E53343"/>
    <w:rsid w:val="00E53D1A"/>
    <w:rsid w:val="00E53FB3"/>
    <w:rsid w:val="00E5442B"/>
    <w:rsid w:val="00E54B5A"/>
    <w:rsid w:val="00E54CDA"/>
    <w:rsid w:val="00E54F99"/>
    <w:rsid w:val="00E54FBE"/>
    <w:rsid w:val="00E551D3"/>
    <w:rsid w:val="00E554AA"/>
    <w:rsid w:val="00E555E4"/>
    <w:rsid w:val="00E556A9"/>
    <w:rsid w:val="00E55876"/>
    <w:rsid w:val="00E55A07"/>
    <w:rsid w:val="00E55CE1"/>
    <w:rsid w:val="00E55EAF"/>
    <w:rsid w:val="00E56058"/>
    <w:rsid w:val="00E5659E"/>
    <w:rsid w:val="00E56773"/>
    <w:rsid w:val="00E56E70"/>
    <w:rsid w:val="00E575D2"/>
    <w:rsid w:val="00E57B36"/>
    <w:rsid w:val="00E57FB0"/>
    <w:rsid w:val="00E600FE"/>
    <w:rsid w:val="00E602CC"/>
    <w:rsid w:val="00E60C04"/>
    <w:rsid w:val="00E61112"/>
    <w:rsid w:val="00E62A41"/>
    <w:rsid w:val="00E63C0A"/>
    <w:rsid w:val="00E645EF"/>
    <w:rsid w:val="00E6471A"/>
    <w:rsid w:val="00E65AFF"/>
    <w:rsid w:val="00E65BF4"/>
    <w:rsid w:val="00E665AC"/>
    <w:rsid w:val="00E66662"/>
    <w:rsid w:val="00E66F42"/>
    <w:rsid w:val="00E670DB"/>
    <w:rsid w:val="00E675FC"/>
    <w:rsid w:val="00E7138B"/>
    <w:rsid w:val="00E7170A"/>
    <w:rsid w:val="00E730F8"/>
    <w:rsid w:val="00E73880"/>
    <w:rsid w:val="00E739B3"/>
    <w:rsid w:val="00E739C2"/>
    <w:rsid w:val="00E74350"/>
    <w:rsid w:val="00E74C7A"/>
    <w:rsid w:val="00E750F2"/>
    <w:rsid w:val="00E75C09"/>
    <w:rsid w:val="00E7603E"/>
    <w:rsid w:val="00E761BB"/>
    <w:rsid w:val="00E765EB"/>
    <w:rsid w:val="00E7666D"/>
    <w:rsid w:val="00E76ADC"/>
    <w:rsid w:val="00E76F07"/>
    <w:rsid w:val="00E772BB"/>
    <w:rsid w:val="00E80062"/>
    <w:rsid w:val="00E80E9E"/>
    <w:rsid w:val="00E80F86"/>
    <w:rsid w:val="00E8124A"/>
    <w:rsid w:val="00E813C1"/>
    <w:rsid w:val="00E814D6"/>
    <w:rsid w:val="00E824DE"/>
    <w:rsid w:val="00E83334"/>
    <w:rsid w:val="00E83D18"/>
    <w:rsid w:val="00E83FAB"/>
    <w:rsid w:val="00E848E5"/>
    <w:rsid w:val="00E84ADD"/>
    <w:rsid w:val="00E855C7"/>
    <w:rsid w:val="00E85B51"/>
    <w:rsid w:val="00E85D97"/>
    <w:rsid w:val="00E85DBE"/>
    <w:rsid w:val="00E86A71"/>
    <w:rsid w:val="00E877DD"/>
    <w:rsid w:val="00E87AB6"/>
    <w:rsid w:val="00E87D01"/>
    <w:rsid w:val="00E87E8F"/>
    <w:rsid w:val="00E9019A"/>
    <w:rsid w:val="00E90336"/>
    <w:rsid w:val="00E906DB"/>
    <w:rsid w:val="00E90D94"/>
    <w:rsid w:val="00E90DBC"/>
    <w:rsid w:val="00E9130F"/>
    <w:rsid w:val="00E91854"/>
    <w:rsid w:val="00E91BFA"/>
    <w:rsid w:val="00E922FC"/>
    <w:rsid w:val="00E9257E"/>
    <w:rsid w:val="00E92684"/>
    <w:rsid w:val="00E930B9"/>
    <w:rsid w:val="00E936CA"/>
    <w:rsid w:val="00E93B67"/>
    <w:rsid w:val="00E93C67"/>
    <w:rsid w:val="00E93D44"/>
    <w:rsid w:val="00E93F6D"/>
    <w:rsid w:val="00E9460F"/>
    <w:rsid w:val="00E9514F"/>
    <w:rsid w:val="00E952DC"/>
    <w:rsid w:val="00E95795"/>
    <w:rsid w:val="00E95EA6"/>
    <w:rsid w:val="00E9615D"/>
    <w:rsid w:val="00E9639D"/>
    <w:rsid w:val="00E96D43"/>
    <w:rsid w:val="00E96DAA"/>
    <w:rsid w:val="00E96E2A"/>
    <w:rsid w:val="00EA05D4"/>
    <w:rsid w:val="00EA0EA1"/>
    <w:rsid w:val="00EA13CD"/>
    <w:rsid w:val="00EA1B18"/>
    <w:rsid w:val="00EA20AF"/>
    <w:rsid w:val="00EA2719"/>
    <w:rsid w:val="00EA32BF"/>
    <w:rsid w:val="00EA427E"/>
    <w:rsid w:val="00EA4469"/>
    <w:rsid w:val="00EA47B1"/>
    <w:rsid w:val="00EA48A9"/>
    <w:rsid w:val="00EA48B9"/>
    <w:rsid w:val="00EA4DC2"/>
    <w:rsid w:val="00EA5471"/>
    <w:rsid w:val="00EA5EE3"/>
    <w:rsid w:val="00EA66DD"/>
    <w:rsid w:val="00EA6E58"/>
    <w:rsid w:val="00EA7F2D"/>
    <w:rsid w:val="00EB0A70"/>
    <w:rsid w:val="00EB1973"/>
    <w:rsid w:val="00EB217B"/>
    <w:rsid w:val="00EB2318"/>
    <w:rsid w:val="00EB24C0"/>
    <w:rsid w:val="00EB2713"/>
    <w:rsid w:val="00EB2C13"/>
    <w:rsid w:val="00EB300C"/>
    <w:rsid w:val="00EB52F3"/>
    <w:rsid w:val="00EB5A77"/>
    <w:rsid w:val="00EB5D1F"/>
    <w:rsid w:val="00EB624E"/>
    <w:rsid w:val="00EB6E16"/>
    <w:rsid w:val="00EB79A9"/>
    <w:rsid w:val="00EB7E53"/>
    <w:rsid w:val="00EB7EEC"/>
    <w:rsid w:val="00EC05D5"/>
    <w:rsid w:val="00EC076E"/>
    <w:rsid w:val="00EC0C58"/>
    <w:rsid w:val="00EC0D1E"/>
    <w:rsid w:val="00EC14AE"/>
    <w:rsid w:val="00EC2233"/>
    <w:rsid w:val="00EC27C6"/>
    <w:rsid w:val="00EC296E"/>
    <w:rsid w:val="00EC3260"/>
    <w:rsid w:val="00EC38C8"/>
    <w:rsid w:val="00EC3BD5"/>
    <w:rsid w:val="00EC4277"/>
    <w:rsid w:val="00EC48F6"/>
    <w:rsid w:val="00EC4FB4"/>
    <w:rsid w:val="00EC52B2"/>
    <w:rsid w:val="00EC53F7"/>
    <w:rsid w:val="00EC636F"/>
    <w:rsid w:val="00EC6529"/>
    <w:rsid w:val="00EC6B0C"/>
    <w:rsid w:val="00EC7395"/>
    <w:rsid w:val="00ED0304"/>
    <w:rsid w:val="00ED0540"/>
    <w:rsid w:val="00ED0BCD"/>
    <w:rsid w:val="00ED0DAE"/>
    <w:rsid w:val="00ED1106"/>
    <w:rsid w:val="00ED1FE2"/>
    <w:rsid w:val="00ED2F35"/>
    <w:rsid w:val="00ED3380"/>
    <w:rsid w:val="00ED3B73"/>
    <w:rsid w:val="00ED464F"/>
    <w:rsid w:val="00ED47E2"/>
    <w:rsid w:val="00ED4F68"/>
    <w:rsid w:val="00ED53FC"/>
    <w:rsid w:val="00ED5AC2"/>
    <w:rsid w:val="00ED7253"/>
    <w:rsid w:val="00EE0152"/>
    <w:rsid w:val="00EE01D4"/>
    <w:rsid w:val="00EE0210"/>
    <w:rsid w:val="00EE04D6"/>
    <w:rsid w:val="00EE08E2"/>
    <w:rsid w:val="00EE0A20"/>
    <w:rsid w:val="00EE1169"/>
    <w:rsid w:val="00EE1314"/>
    <w:rsid w:val="00EE2075"/>
    <w:rsid w:val="00EE391C"/>
    <w:rsid w:val="00EE47B9"/>
    <w:rsid w:val="00EE4B7C"/>
    <w:rsid w:val="00EE4DDE"/>
    <w:rsid w:val="00EE4F43"/>
    <w:rsid w:val="00EE5056"/>
    <w:rsid w:val="00EE6CD6"/>
    <w:rsid w:val="00EE76C6"/>
    <w:rsid w:val="00EE7B71"/>
    <w:rsid w:val="00EF04B1"/>
    <w:rsid w:val="00EF0F24"/>
    <w:rsid w:val="00EF1BE1"/>
    <w:rsid w:val="00EF1FA2"/>
    <w:rsid w:val="00EF22F5"/>
    <w:rsid w:val="00EF2E0B"/>
    <w:rsid w:val="00EF2F37"/>
    <w:rsid w:val="00EF36B6"/>
    <w:rsid w:val="00EF3AE8"/>
    <w:rsid w:val="00EF3BE4"/>
    <w:rsid w:val="00EF40AA"/>
    <w:rsid w:val="00EF4658"/>
    <w:rsid w:val="00EF5767"/>
    <w:rsid w:val="00EF5810"/>
    <w:rsid w:val="00EF633F"/>
    <w:rsid w:val="00EF6421"/>
    <w:rsid w:val="00EF69A9"/>
    <w:rsid w:val="00EF6F60"/>
    <w:rsid w:val="00EF74CD"/>
    <w:rsid w:val="00EF74EC"/>
    <w:rsid w:val="00EF7963"/>
    <w:rsid w:val="00EF7FFD"/>
    <w:rsid w:val="00F0014F"/>
    <w:rsid w:val="00F00910"/>
    <w:rsid w:val="00F015F8"/>
    <w:rsid w:val="00F017CC"/>
    <w:rsid w:val="00F019E5"/>
    <w:rsid w:val="00F02070"/>
    <w:rsid w:val="00F022AC"/>
    <w:rsid w:val="00F032E8"/>
    <w:rsid w:val="00F03383"/>
    <w:rsid w:val="00F03973"/>
    <w:rsid w:val="00F0438E"/>
    <w:rsid w:val="00F045E6"/>
    <w:rsid w:val="00F046E9"/>
    <w:rsid w:val="00F04733"/>
    <w:rsid w:val="00F04996"/>
    <w:rsid w:val="00F050F9"/>
    <w:rsid w:val="00F05401"/>
    <w:rsid w:val="00F058FD"/>
    <w:rsid w:val="00F05A97"/>
    <w:rsid w:val="00F05CE3"/>
    <w:rsid w:val="00F05F4D"/>
    <w:rsid w:val="00F0608C"/>
    <w:rsid w:val="00F0613F"/>
    <w:rsid w:val="00F07225"/>
    <w:rsid w:val="00F107B5"/>
    <w:rsid w:val="00F10F5C"/>
    <w:rsid w:val="00F11742"/>
    <w:rsid w:val="00F11B7A"/>
    <w:rsid w:val="00F11C5E"/>
    <w:rsid w:val="00F11D79"/>
    <w:rsid w:val="00F122CF"/>
    <w:rsid w:val="00F12633"/>
    <w:rsid w:val="00F128B9"/>
    <w:rsid w:val="00F12FB1"/>
    <w:rsid w:val="00F130BB"/>
    <w:rsid w:val="00F13EA9"/>
    <w:rsid w:val="00F1415F"/>
    <w:rsid w:val="00F14892"/>
    <w:rsid w:val="00F14C81"/>
    <w:rsid w:val="00F14D96"/>
    <w:rsid w:val="00F14F5B"/>
    <w:rsid w:val="00F151B0"/>
    <w:rsid w:val="00F1530D"/>
    <w:rsid w:val="00F16330"/>
    <w:rsid w:val="00F16B38"/>
    <w:rsid w:val="00F203EC"/>
    <w:rsid w:val="00F20689"/>
    <w:rsid w:val="00F21BDC"/>
    <w:rsid w:val="00F234BA"/>
    <w:rsid w:val="00F23CD1"/>
    <w:rsid w:val="00F23FF1"/>
    <w:rsid w:val="00F241AB"/>
    <w:rsid w:val="00F24282"/>
    <w:rsid w:val="00F242AE"/>
    <w:rsid w:val="00F244EB"/>
    <w:rsid w:val="00F24BFE"/>
    <w:rsid w:val="00F25788"/>
    <w:rsid w:val="00F25C60"/>
    <w:rsid w:val="00F26929"/>
    <w:rsid w:val="00F26E8A"/>
    <w:rsid w:val="00F274D8"/>
    <w:rsid w:val="00F275A5"/>
    <w:rsid w:val="00F2770C"/>
    <w:rsid w:val="00F27B10"/>
    <w:rsid w:val="00F27C2C"/>
    <w:rsid w:val="00F27D3F"/>
    <w:rsid w:val="00F3178C"/>
    <w:rsid w:val="00F32051"/>
    <w:rsid w:val="00F320A5"/>
    <w:rsid w:val="00F32AF0"/>
    <w:rsid w:val="00F330E2"/>
    <w:rsid w:val="00F33E84"/>
    <w:rsid w:val="00F345BD"/>
    <w:rsid w:val="00F34B16"/>
    <w:rsid w:val="00F3557E"/>
    <w:rsid w:val="00F35D3B"/>
    <w:rsid w:val="00F35F47"/>
    <w:rsid w:val="00F360E4"/>
    <w:rsid w:val="00F3638C"/>
    <w:rsid w:val="00F3659C"/>
    <w:rsid w:val="00F36D91"/>
    <w:rsid w:val="00F37B41"/>
    <w:rsid w:val="00F37BD6"/>
    <w:rsid w:val="00F40487"/>
    <w:rsid w:val="00F40BC0"/>
    <w:rsid w:val="00F415C2"/>
    <w:rsid w:val="00F41E15"/>
    <w:rsid w:val="00F41F48"/>
    <w:rsid w:val="00F41F9A"/>
    <w:rsid w:val="00F42407"/>
    <w:rsid w:val="00F429FE"/>
    <w:rsid w:val="00F42A8E"/>
    <w:rsid w:val="00F43815"/>
    <w:rsid w:val="00F439EF"/>
    <w:rsid w:val="00F43AF8"/>
    <w:rsid w:val="00F43C94"/>
    <w:rsid w:val="00F440E9"/>
    <w:rsid w:val="00F44132"/>
    <w:rsid w:val="00F44664"/>
    <w:rsid w:val="00F44665"/>
    <w:rsid w:val="00F4498C"/>
    <w:rsid w:val="00F44F37"/>
    <w:rsid w:val="00F450F8"/>
    <w:rsid w:val="00F47322"/>
    <w:rsid w:val="00F4769D"/>
    <w:rsid w:val="00F47E1E"/>
    <w:rsid w:val="00F509FF"/>
    <w:rsid w:val="00F50C84"/>
    <w:rsid w:val="00F51691"/>
    <w:rsid w:val="00F51A83"/>
    <w:rsid w:val="00F51C75"/>
    <w:rsid w:val="00F51D8C"/>
    <w:rsid w:val="00F52DA2"/>
    <w:rsid w:val="00F52DA7"/>
    <w:rsid w:val="00F52DF8"/>
    <w:rsid w:val="00F53924"/>
    <w:rsid w:val="00F53A6D"/>
    <w:rsid w:val="00F5429E"/>
    <w:rsid w:val="00F54D18"/>
    <w:rsid w:val="00F551D5"/>
    <w:rsid w:val="00F559DD"/>
    <w:rsid w:val="00F56076"/>
    <w:rsid w:val="00F5609C"/>
    <w:rsid w:val="00F571A0"/>
    <w:rsid w:val="00F57675"/>
    <w:rsid w:val="00F600B7"/>
    <w:rsid w:val="00F60D11"/>
    <w:rsid w:val="00F61207"/>
    <w:rsid w:val="00F61C04"/>
    <w:rsid w:val="00F62206"/>
    <w:rsid w:val="00F6244E"/>
    <w:rsid w:val="00F624D8"/>
    <w:rsid w:val="00F638B6"/>
    <w:rsid w:val="00F63B0F"/>
    <w:rsid w:val="00F64958"/>
    <w:rsid w:val="00F6505B"/>
    <w:rsid w:val="00F653C8"/>
    <w:rsid w:val="00F656FF"/>
    <w:rsid w:val="00F6574E"/>
    <w:rsid w:val="00F65993"/>
    <w:rsid w:val="00F6603D"/>
    <w:rsid w:val="00F66EA3"/>
    <w:rsid w:val="00F674BB"/>
    <w:rsid w:val="00F6768B"/>
    <w:rsid w:val="00F67C9E"/>
    <w:rsid w:val="00F67E3C"/>
    <w:rsid w:val="00F70EB5"/>
    <w:rsid w:val="00F7234F"/>
    <w:rsid w:val="00F727D5"/>
    <w:rsid w:val="00F72A54"/>
    <w:rsid w:val="00F72E3B"/>
    <w:rsid w:val="00F73A3C"/>
    <w:rsid w:val="00F74C83"/>
    <w:rsid w:val="00F7592B"/>
    <w:rsid w:val="00F75D1C"/>
    <w:rsid w:val="00F764F8"/>
    <w:rsid w:val="00F7730F"/>
    <w:rsid w:val="00F77DB8"/>
    <w:rsid w:val="00F809BB"/>
    <w:rsid w:val="00F811A1"/>
    <w:rsid w:val="00F81368"/>
    <w:rsid w:val="00F818D7"/>
    <w:rsid w:val="00F81933"/>
    <w:rsid w:val="00F8341F"/>
    <w:rsid w:val="00F836CE"/>
    <w:rsid w:val="00F837D3"/>
    <w:rsid w:val="00F83D03"/>
    <w:rsid w:val="00F83F58"/>
    <w:rsid w:val="00F843F9"/>
    <w:rsid w:val="00F84818"/>
    <w:rsid w:val="00F84CB2"/>
    <w:rsid w:val="00F85648"/>
    <w:rsid w:val="00F8586C"/>
    <w:rsid w:val="00F85C3C"/>
    <w:rsid w:val="00F860CB"/>
    <w:rsid w:val="00F86BEE"/>
    <w:rsid w:val="00F87087"/>
    <w:rsid w:val="00F8721C"/>
    <w:rsid w:val="00F8725F"/>
    <w:rsid w:val="00F872BE"/>
    <w:rsid w:val="00F87B97"/>
    <w:rsid w:val="00F900BE"/>
    <w:rsid w:val="00F90299"/>
    <w:rsid w:val="00F90A6A"/>
    <w:rsid w:val="00F90AB9"/>
    <w:rsid w:val="00F90B9E"/>
    <w:rsid w:val="00F90EBB"/>
    <w:rsid w:val="00F91C5F"/>
    <w:rsid w:val="00F923B9"/>
    <w:rsid w:val="00F92479"/>
    <w:rsid w:val="00F92582"/>
    <w:rsid w:val="00F92604"/>
    <w:rsid w:val="00F92B73"/>
    <w:rsid w:val="00F92BCD"/>
    <w:rsid w:val="00F92EF3"/>
    <w:rsid w:val="00F936BD"/>
    <w:rsid w:val="00F93AB0"/>
    <w:rsid w:val="00F94535"/>
    <w:rsid w:val="00F945B4"/>
    <w:rsid w:val="00F94D41"/>
    <w:rsid w:val="00F959F5"/>
    <w:rsid w:val="00F95DDE"/>
    <w:rsid w:val="00F95FD3"/>
    <w:rsid w:val="00F9606D"/>
    <w:rsid w:val="00F9635A"/>
    <w:rsid w:val="00F96686"/>
    <w:rsid w:val="00F96CB2"/>
    <w:rsid w:val="00F97AD9"/>
    <w:rsid w:val="00FA15EB"/>
    <w:rsid w:val="00FA196B"/>
    <w:rsid w:val="00FA1B67"/>
    <w:rsid w:val="00FA1C2A"/>
    <w:rsid w:val="00FA2BF6"/>
    <w:rsid w:val="00FA394C"/>
    <w:rsid w:val="00FA3AE4"/>
    <w:rsid w:val="00FA3EA3"/>
    <w:rsid w:val="00FA45E5"/>
    <w:rsid w:val="00FA4878"/>
    <w:rsid w:val="00FA4E1D"/>
    <w:rsid w:val="00FA5B4B"/>
    <w:rsid w:val="00FA60EB"/>
    <w:rsid w:val="00FA6FB7"/>
    <w:rsid w:val="00FA74A2"/>
    <w:rsid w:val="00FA7A3C"/>
    <w:rsid w:val="00FA7AFF"/>
    <w:rsid w:val="00FA7C19"/>
    <w:rsid w:val="00FB1141"/>
    <w:rsid w:val="00FB19C7"/>
    <w:rsid w:val="00FB2531"/>
    <w:rsid w:val="00FB3485"/>
    <w:rsid w:val="00FB403A"/>
    <w:rsid w:val="00FB44D7"/>
    <w:rsid w:val="00FB4646"/>
    <w:rsid w:val="00FB4C72"/>
    <w:rsid w:val="00FB4D1C"/>
    <w:rsid w:val="00FB50FA"/>
    <w:rsid w:val="00FB519C"/>
    <w:rsid w:val="00FB6203"/>
    <w:rsid w:val="00FB68C7"/>
    <w:rsid w:val="00FB69F9"/>
    <w:rsid w:val="00FB6C61"/>
    <w:rsid w:val="00FB7561"/>
    <w:rsid w:val="00FB7CB1"/>
    <w:rsid w:val="00FC0F8B"/>
    <w:rsid w:val="00FC3B6A"/>
    <w:rsid w:val="00FC3F45"/>
    <w:rsid w:val="00FC48C2"/>
    <w:rsid w:val="00FC498F"/>
    <w:rsid w:val="00FC50CA"/>
    <w:rsid w:val="00FC5DE9"/>
    <w:rsid w:val="00FC67DA"/>
    <w:rsid w:val="00FC6B18"/>
    <w:rsid w:val="00FC6C89"/>
    <w:rsid w:val="00FC7527"/>
    <w:rsid w:val="00FC7B3F"/>
    <w:rsid w:val="00FD08DE"/>
    <w:rsid w:val="00FD0A51"/>
    <w:rsid w:val="00FD0A61"/>
    <w:rsid w:val="00FD11B8"/>
    <w:rsid w:val="00FD173D"/>
    <w:rsid w:val="00FD21C3"/>
    <w:rsid w:val="00FD2497"/>
    <w:rsid w:val="00FD27D6"/>
    <w:rsid w:val="00FD2C89"/>
    <w:rsid w:val="00FD2E01"/>
    <w:rsid w:val="00FD2E1E"/>
    <w:rsid w:val="00FD3322"/>
    <w:rsid w:val="00FD3F68"/>
    <w:rsid w:val="00FD4815"/>
    <w:rsid w:val="00FD4B6F"/>
    <w:rsid w:val="00FD54BD"/>
    <w:rsid w:val="00FD5B2E"/>
    <w:rsid w:val="00FD7059"/>
    <w:rsid w:val="00FD7339"/>
    <w:rsid w:val="00FD73B5"/>
    <w:rsid w:val="00FD7A06"/>
    <w:rsid w:val="00FE005D"/>
    <w:rsid w:val="00FE1854"/>
    <w:rsid w:val="00FE1C5A"/>
    <w:rsid w:val="00FE1FC1"/>
    <w:rsid w:val="00FE2073"/>
    <w:rsid w:val="00FE381D"/>
    <w:rsid w:val="00FE4400"/>
    <w:rsid w:val="00FE5084"/>
    <w:rsid w:val="00FE5912"/>
    <w:rsid w:val="00FE6585"/>
    <w:rsid w:val="00FE6A74"/>
    <w:rsid w:val="00FE6AC9"/>
    <w:rsid w:val="00FE7071"/>
    <w:rsid w:val="00FF0771"/>
    <w:rsid w:val="00FF0A8F"/>
    <w:rsid w:val="00FF1F60"/>
    <w:rsid w:val="00FF2A67"/>
    <w:rsid w:val="00FF2FBE"/>
    <w:rsid w:val="00FF3187"/>
    <w:rsid w:val="00FF43EC"/>
    <w:rsid w:val="00FF6422"/>
    <w:rsid w:val="00FF68B2"/>
    <w:rsid w:val="00FF6ECF"/>
    <w:rsid w:val="00FF7A0C"/>
    <w:rsid w:val="00FF7B1E"/>
    <w:rsid w:val="00FF7DB2"/>
    <w:rsid w:val="00FF7E63"/>
    <w:rsid w:val="00FF7E97"/>
    <w:rsid w:val="01BB5DF1"/>
    <w:rsid w:val="04497B8E"/>
    <w:rsid w:val="04D6240C"/>
    <w:rsid w:val="052D4A30"/>
    <w:rsid w:val="07D23118"/>
    <w:rsid w:val="07D959C5"/>
    <w:rsid w:val="081B4881"/>
    <w:rsid w:val="0A42A1F2"/>
    <w:rsid w:val="0AF58EE5"/>
    <w:rsid w:val="0B929912"/>
    <w:rsid w:val="0C009F63"/>
    <w:rsid w:val="0EE5DCCC"/>
    <w:rsid w:val="107402F4"/>
    <w:rsid w:val="115DB938"/>
    <w:rsid w:val="12073643"/>
    <w:rsid w:val="12DEFC9D"/>
    <w:rsid w:val="13096BE0"/>
    <w:rsid w:val="14CAA2E6"/>
    <w:rsid w:val="181F00A0"/>
    <w:rsid w:val="193BB3F3"/>
    <w:rsid w:val="19583762"/>
    <w:rsid w:val="1A9A84B4"/>
    <w:rsid w:val="1D20F806"/>
    <w:rsid w:val="1D8752C7"/>
    <w:rsid w:val="239111F4"/>
    <w:rsid w:val="2551B8F7"/>
    <w:rsid w:val="25AC0F6A"/>
    <w:rsid w:val="276393E1"/>
    <w:rsid w:val="279DBAEF"/>
    <w:rsid w:val="2993F813"/>
    <w:rsid w:val="29E42D0B"/>
    <w:rsid w:val="2B03F0AE"/>
    <w:rsid w:val="2B7CF523"/>
    <w:rsid w:val="2BF6DD42"/>
    <w:rsid w:val="2D37B912"/>
    <w:rsid w:val="2E4C1ABB"/>
    <w:rsid w:val="2EDCCDB4"/>
    <w:rsid w:val="2EE6B1F0"/>
    <w:rsid w:val="30168FAF"/>
    <w:rsid w:val="30F20363"/>
    <w:rsid w:val="3125E285"/>
    <w:rsid w:val="313DF332"/>
    <w:rsid w:val="31D70BEA"/>
    <w:rsid w:val="334A67F0"/>
    <w:rsid w:val="34C28C8C"/>
    <w:rsid w:val="34E2745E"/>
    <w:rsid w:val="35875AE7"/>
    <w:rsid w:val="39342BB5"/>
    <w:rsid w:val="3D7865EF"/>
    <w:rsid w:val="3D908B67"/>
    <w:rsid w:val="4026A5A3"/>
    <w:rsid w:val="405DD84E"/>
    <w:rsid w:val="414C4366"/>
    <w:rsid w:val="42554026"/>
    <w:rsid w:val="440DD6E1"/>
    <w:rsid w:val="444B3D27"/>
    <w:rsid w:val="45A0698E"/>
    <w:rsid w:val="46623657"/>
    <w:rsid w:val="486D34F4"/>
    <w:rsid w:val="4BEC5850"/>
    <w:rsid w:val="505EEFA4"/>
    <w:rsid w:val="5894C562"/>
    <w:rsid w:val="5A1F8A74"/>
    <w:rsid w:val="5C27BB71"/>
    <w:rsid w:val="5ED06134"/>
    <w:rsid w:val="5F5B4B5E"/>
    <w:rsid w:val="6371BA39"/>
    <w:rsid w:val="651B7CC5"/>
    <w:rsid w:val="657DB2F9"/>
    <w:rsid w:val="66117CCF"/>
    <w:rsid w:val="69881F61"/>
    <w:rsid w:val="6DCC68E7"/>
    <w:rsid w:val="702E60B6"/>
    <w:rsid w:val="71C3CB1E"/>
    <w:rsid w:val="73B7454A"/>
    <w:rsid w:val="7514F02C"/>
    <w:rsid w:val="75819D76"/>
    <w:rsid w:val="76572904"/>
    <w:rsid w:val="7B18491A"/>
    <w:rsid w:val="7BBDEAB9"/>
    <w:rsid w:val="7F2815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C128"/>
  <w15:chartTrackingRefBased/>
  <w15:docId w15:val="{C5F473D3-7ECC-4CB7-9279-E1460AE0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
    <w:rsid w:val="00972A44"/>
    <w:rPr>
      <w:color w:val="000000" w:themeColor="text1"/>
    </w:rPr>
  </w:style>
  <w:style w:type="paragraph" w:styleId="Heading1">
    <w:name w:val="heading 1"/>
    <w:basedOn w:val="Normal"/>
    <w:next w:val="Body"/>
    <w:link w:val="Heading1Char"/>
    <w:qFormat/>
    <w:rsid w:val="00AD640A"/>
    <w:pPr>
      <w:keepNext/>
      <w:keepLines/>
      <w:spacing w:before="240" w:after="240" w:line="240" w:lineRule="auto"/>
      <w:outlineLvl w:val="0"/>
    </w:pPr>
    <w:rPr>
      <w:rFonts w:eastAsiaTheme="majorEastAsia"/>
      <w:b/>
      <w:color w:val="00A3C7" w:themeColor="text2"/>
      <w:sz w:val="22"/>
      <w:szCs w:val="22"/>
    </w:rPr>
  </w:style>
  <w:style w:type="paragraph" w:styleId="Heading2">
    <w:name w:val="heading 2"/>
    <w:basedOn w:val="Normal"/>
    <w:next w:val="Normal"/>
    <w:link w:val="Heading2Char"/>
    <w:semiHidden/>
    <w:rsid w:val="00F836CE"/>
    <w:pPr>
      <w:keepNext/>
      <w:tabs>
        <w:tab w:val="num" w:pos="1080"/>
      </w:tabs>
      <w:spacing w:before="240" w:after="60" w:line="240" w:lineRule="auto"/>
      <w:outlineLvl w:val="1"/>
    </w:pPr>
    <w:rPr>
      <w:b/>
      <w:bCs/>
      <w:i/>
      <w:iCs/>
      <w:color w:val="auto"/>
      <w:sz w:val="28"/>
      <w:szCs w:val="28"/>
    </w:rPr>
  </w:style>
  <w:style w:type="paragraph" w:styleId="Heading3">
    <w:name w:val="heading 3"/>
    <w:basedOn w:val="Normal"/>
    <w:next w:val="Normal"/>
    <w:link w:val="Heading3Char"/>
    <w:semiHidden/>
    <w:rsid w:val="00F836CE"/>
    <w:pPr>
      <w:keepNext/>
      <w:tabs>
        <w:tab w:val="num" w:pos="720"/>
      </w:tabs>
      <w:spacing w:before="240" w:after="60" w:line="240" w:lineRule="auto"/>
      <w:ind w:left="720" w:hanging="432"/>
      <w:outlineLvl w:val="2"/>
    </w:pPr>
    <w:rPr>
      <w:b/>
      <w:bCs/>
      <w:color w:val="auto"/>
      <w:sz w:val="26"/>
      <w:szCs w:val="26"/>
    </w:rPr>
  </w:style>
  <w:style w:type="paragraph" w:styleId="Heading4">
    <w:name w:val="heading 4"/>
    <w:basedOn w:val="Normal"/>
    <w:next w:val="Normal"/>
    <w:link w:val="Heading4Char"/>
    <w:semiHidden/>
    <w:rsid w:val="00F836CE"/>
    <w:pPr>
      <w:keepNext/>
      <w:tabs>
        <w:tab w:val="num" w:pos="864"/>
      </w:tabs>
      <w:spacing w:before="240" w:after="60" w:line="240" w:lineRule="auto"/>
      <w:ind w:left="864" w:hanging="144"/>
      <w:outlineLvl w:val="3"/>
    </w:pPr>
    <w:rPr>
      <w:rFonts w:cstheme="minorBidi"/>
      <w:b/>
      <w:bCs/>
      <w:color w:val="auto"/>
      <w:sz w:val="28"/>
      <w:szCs w:val="28"/>
    </w:rPr>
  </w:style>
  <w:style w:type="paragraph" w:styleId="Heading5">
    <w:name w:val="heading 5"/>
    <w:basedOn w:val="Normal"/>
    <w:next w:val="Normal"/>
    <w:link w:val="Heading5Char"/>
    <w:semiHidden/>
    <w:rsid w:val="00F836CE"/>
    <w:pPr>
      <w:tabs>
        <w:tab w:val="num" w:pos="1008"/>
      </w:tabs>
      <w:spacing w:before="240" w:after="60" w:line="240" w:lineRule="auto"/>
      <w:ind w:left="1008" w:hanging="432"/>
      <w:outlineLvl w:val="4"/>
    </w:pPr>
    <w:rPr>
      <w:rFonts w:cstheme="minorBidi"/>
      <w:b/>
      <w:bCs/>
      <w:i/>
      <w:iCs/>
      <w:color w:val="auto"/>
      <w:sz w:val="26"/>
      <w:szCs w:val="26"/>
    </w:rPr>
  </w:style>
  <w:style w:type="paragraph" w:styleId="Heading6">
    <w:name w:val="heading 6"/>
    <w:basedOn w:val="Normal"/>
    <w:next w:val="Normal"/>
    <w:link w:val="Heading6Char"/>
    <w:semiHidden/>
    <w:rsid w:val="00F836CE"/>
    <w:pPr>
      <w:tabs>
        <w:tab w:val="num" w:pos="1152"/>
      </w:tabs>
      <w:spacing w:before="240" w:after="60" w:line="240" w:lineRule="auto"/>
      <w:ind w:left="1152" w:hanging="432"/>
      <w:outlineLvl w:val="5"/>
    </w:pPr>
    <w:rPr>
      <w:rFonts w:cstheme="minorBidi"/>
      <w:b/>
      <w:bCs/>
      <w:color w:val="auto"/>
      <w:sz w:val="22"/>
      <w:szCs w:val="22"/>
    </w:rPr>
  </w:style>
  <w:style w:type="paragraph" w:styleId="Heading7">
    <w:name w:val="heading 7"/>
    <w:basedOn w:val="Normal"/>
    <w:next w:val="Normal"/>
    <w:link w:val="Heading7Char"/>
    <w:semiHidden/>
    <w:rsid w:val="00F836CE"/>
    <w:pPr>
      <w:tabs>
        <w:tab w:val="num" w:pos="1296"/>
      </w:tabs>
      <w:spacing w:before="240" w:after="60" w:line="240" w:lineRule="auto"/>
      <w:ind w:left="1296" w:hanging="288"/>
      <w:outlineLvl w:val="6"/>
    </w:pPr>
    <w:rPr>
      <w:rFonts w:cstheme="minorBidi"/>
      <w:color w:val="auto"/>
      <w:sz w:val="20"/>
      <w:szCs w:val="22"/>
    </w:rPr>
  </w:style>
  <w:style w:type="paragraph" w:styleId="Heading8">
    <w:name w:val="heading 8"/>
    <w:basedOn w:val="Normal"/>
    <w:next w:val="Normal"/>
    <w:link w:val="Heading8Char"/>
    <w:semiHidden/>
    <w:rsid w:val="00F836CE"/>
    <w:pPr>
      <w:tabs>
        <w:tab w:val="num" w:pos="1440"/>
      </w:tabs>
      <w:spacing w:before="240" w:after="60" w:line="240" w:lineRule="auto"/>
      <w:ind w:left="1440" w:hanging="432"/>
      <w:outlineLvl w:val="7"/>
    </w:pPr>
    <w:rPr>
      <w:rFonts w:cstheme="minorBidi"/>
      <w:i/>
      <w:iCs/>
      <w:color w:val="auto"/>
      <w:sz w:val="20"/>
      <w:szCs w:val="22"/>
    </w:rPr>
  </w:style>
  <w:style w:type="paragraph" w:styleId="Heading9">
    <w:name w:val="heading 9"/>
    <w:basedOn w:val="Normal"/>
    <w:next w:val="Normal"/>
    <w:link w:val="Heading9Char"/>
    <w:semiHidden/>
    <w:rsid w:val="00F836CE"/>
    <w:pPr>
      <w:tabs>
        <w:tab w:val="num" w:pos="1584"/>
      </w:tabs>
      <w:spacing w:before="240" w:after="60" w:line="240" w:lineRule="auto"/>
      <w:ind w:left="1584" w:hanging="144"/>
      <w:outlineLvl w:val="8"/>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4B5"/>
  </w:style>
  <w:style w:type="paragraph" w:styleId="Footer">
    <w:name w:val="footer"/>
    <w:basedOn w:val="Normal"/>
    <w:link w:val="FooterChar"/>
    <w:uiPriority w:val="99"/>
    <w:unhideWhenUsed/>
    <w:rsid w:val="008F3147"/>
    <w:pPr>
      <w:spacing w:after="0" w:line="240" w:lineRule="auto"/>
    </w:pPr>
  </w:style>
  <w:style w:type="character" w:customStyle="1" w:styleId="FooterChar">
    <w:name w:val="Footer Char"/>
    <w:basedOn w:val="DefaultParagraphFont"/>
    <w:link w:val="Footer"/>
    <w:uiPriority w:val="99"/>
    <w:rsid w:val="008F3147"/>
    <w:rPr>
      <w:color w:val="000000" w:themeColor="text1"/>
    </w:rPr>
  </w:style>
  <w:style w:type="character" w:customStyle="1" w:styleId="Heading1Char">
    <w:name w:val="Heading 1 Char"/>
    <w:basedOn w:val="DefaultParagraphFont"/>
    <w:link w:val="Heading1"/>
    <w:uiPriority w:val="9"/>
    <w:rsid w:val="00AD640A"/>
    <w:rPr>
      <w:rFonts w:eastAsiaTheme="majorEastAsia"/>
      <w:b/>
      <w:color w:val="00A3C7" w:themeColor="text2"/>
      <w:sz w:val="22"/>
      <w:szCs w:val="22"/>
    </w:rPr>
  </w:style>
  <w:style w:type="paragraph" w:styleId="ListParagraph">
    <w:name w:val="List Paragraph"/>
    <w:basedOn w:val="Normal"/>
    <w:uiPriority w:val="34"/>
    <w:qFormat/>
    <w:rsid w:val="00F241AB"/>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unhideWhenUsed/>
    <w:rsid w:val="00C8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015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LCPTable">
    <w:name w:val="__LCP Table"/>
    <w:basedOn w:val="TableNormal"/>
    <w:rsid w:val="00844408"/>
    <w:pPr>
      <w:spacing w:after="0" w:line="240" w:lineRule="auto"/>
    </w:pPr>
    <w:rPr>
      <w:rFonts w:eastAsia="Times New Roman" w:cs="Times New Roman"/>
      <w:szCs w:val="20"/>
      <w:lang w:eastAsia="en-GB"/>
    </w:rPr>
    <w:tblPr>
      <w:tblStyleRowBandSize w:val="1"/>
      <w:tblCellMar>
        <w:left w:w="0" w:type="dxa"/>
        <w:right w:w="113" w:type="dxa"/>
      </w:tblCellMar>
    </w:tblPr>
    <w:tcPr>
      <w:shd w:val="clear" w:color="auto" w:fill="auto"/>
    </w:tcPr>
    <w:tblStylePr w:type="firstRow">
      <w:pPr>
        <w:wordWrap/>
        <w:jc w:val="left"/>
      </w:pPr>
      <w:rPr>
        <w:rFonts w:ascii="Arial" w:hAnsi="Arial"/>
        <w:b w:val="0"/>
        <w:i w:val="0"/>
        <w:color w:val="FFFFFF"/>
        <w:sz w:val="18"/>
      </w:rPr>
      <w:tblPr/>
      <w:tcPr>
        <w:tcBorders>
          <w:top w:val="nil"/>
          <w:left w:val="nil"/>
          <w:bottom w:val="single" w:sz="48" w:space="0" w:color="FFFFFF"/>
          <w:right w:val="nil"/>
          <w:insideH w:val="nil"/>
          <w:insideV w:val="nil"/>
          <w:tl2br w:val="nil"/>
          <w:tr2bl w:val="nil"/>
        </w:tcBorders>
        <w:shd w:val="clear" w:color="auto" w:fill="00A3C7"/>
      </w:tcPr>
    </w:tblStylePr>
    <w:tblStylePr w:type="lastRow">
      <w:rPr>
        <w:rFonts w:ascii="Arial" w:hAnsi="Arial"/>
        <w:b w:val="0"/>
        <w:i w:val="0"/>
        <w:color w:val="auto"/>
        <w:sz w:val="18"/>
      </w:rPr>
    </w:tblStylePr>
    <w:tblStylePr w:type="firstCol">
      <w:pPr>
        <w:wordWrap/>
        <w:jc w:val="left"/>
      </w:pPr>
    </w:tblStylePr>
    <w:tblStylePr w:type="lastCol">
      <w:pPr>
        <w:wordWrap/>
        <w:ind w:rightChars="0" w:right="113"/>
      </w:p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685B39"/>
    <w:rPr>
      <w:color w:val="0000FF"/>
      <w:u w:val="single"/>
    </w:rPr>
  </w:style>
  <w:style w:type="character" w:styleId="UnresolvedMention">
    <w:name w:val="Unresolved Mention"/>
    <w:basedOn w:val="DefaultParagraphFont"/>
    <w:uiPriority w:val="99"/>
    <w:unhideWhenUsed/>
    <w:rsid w:val="00CF1C65"/>
    <w:rPr>
      <w:color w:val="808080"/>
      <w:shd w:val="clear" w:color="auto" w:fill="E6E6E6"/>
    </w:rPr>
  </w:style>
  <w:style w:type="paragraph" w:customStyle="1" w:styleId="Bullet1">
    <w:name w:val="Bullet 1"/>
    <w:basedOn w:val="Normal"/>
    <w:qFormat/>
    <w:rsid w:val="00514777"/>
    <w:pPr>
      <w:numPr>
        <w:numId w:val="10"/>
      </w:numPr>
      <w:spacing w:after="120" w:line="240" w:lineRule="auto"/>
    </w:pPr>
    <w:rPr>
      <w:rFonts w:eastAsia="Times New Roman" w:cs="Times New Roman"/>
      <w:sz w:val="20"/>
      <w:szCs w:val="24"/>
      <w:lang w:eastAsia="en-GB"/>
    </w:rPr>
  </w:style>
  <w:style w:type="paragraph" w:styleId="BalloonText">
    <w:name w:val="Balloon Text"/>
    <w:basedOn w:val="Normal"/>
    <w:link w:val="BalloonTextChar"/>
    <w:uiPriority w:val="99"/>
    <w:semiHidden/>
    <w:unhideWhenUsed/>
    <w:rsid w:val="001B1F1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B1F1B"/>
    <w:rPr>
      <w:rFonts w:ascii="Segoe UI" w:hAnsi="Segoe UI" w:cs="Segoe UI"/>
    </w:rPr>
  </w:style>
  <w:style w:type="table" w:customStyle="1" w:styleId="LCPTable1">
    <w:name w:val="__LCP Table1"/>
    <w:basedOn w:val="TableNormal"/>
    <w:rsid w:val="00931FE2"/>
    <w:pPr>
      <w:spacing w:after="0" w:line="240" w:lineRule="auto"/>
    </w:pPr>
    <w:rPr>
      <w:rFonts w:eastAsia="Times New Roman" w:cs="Times New Roman"/>
      <w:szCs w:val="20"/>
      <w:lang w:eastAsia="en-GB"/>
    </w:rPr>
    <w:tblPr>
      <w:tblStyleRowBandSize w:val="1"/>
      <w:tblCellMar>
        <w:left w:w="0" w:type="dxa"/>
        <w:right w:w="113" w:type="dxa"/>
      </w:tblCellMar>
    </w:tblPr>
    <w:tcPr>
      <w:shd w:val="clear" w:color="auto" w:fill="auto"/>
    </w:tcPr>
    <w:tblStylePr w:type="firstRow">
      <w:pPr>
        <w:wordWrap/>
        <w:jc w:val="left"/>
      </w:pPr>
      <w:rPr>
        <w:rFonts w:ascii="Arial" w:hAnsi="Arial"/>
        <w:b w:val="0"/>
        <w:i w:val="0"/>
        <w:color w:val="FFFFFF"/>
        <w:sz w:val="18"/>
      </w:rPr>
      <w:tblPr/>
      <w:tcPr>
        <w:tcBorders>
          <w:top w:val="nil"/>
          <w:left w:val="nil"/>
          <w:bottom w:val="single" w:sz="48" w:space="0" w:color="FFFFFF"/>
          <w:right w:val="nil"/>
          <w:insideH w:val="nil"/>
          <w:insideV w:val="nil"/>
          <w:tl2br w:val="nil"/>
          <w:tr2bl w:val="nil"/>
        </w:tcBorders>
        <w:shd w:val="clear" w:color="auto" w:fill="00A3C7"/>
      </w:tcPr>
    </w:tblStylePr>
    <w:tblStylePr w:type="lastRow">
      <w:rPr>
        <w:rFonts w:ascii="Arial" w:hAnsi="Arial"/>
        <w:b w:val="0"/>
        <w:i w:val="0"/>
        <w:color w:val="auto"/>
        <w:sz w:val="18"/>
      </w:rPr>
    </w:tblStylePr>
    <w:tblStylePr w:type="firstCol">
      <w:pPr>
        <w:wordWrap/>
        <w:jc w:val="left"/>
      </w:pPr>
    </w:tblStylePr>
    <w:tblStylePr w:type="lastCol">
      <w:pPr>
        <w:wordWrap/>
        <w:ind w:rightChars="0" w:right="113"/>
      </w:p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ody">
    <w:name w:val="Body"/>
    <w:qFormat/>
    <w:rsid w:val="00972A44"/>
    <w:pPr>
      <w:spacing w:after="240" w:line="240" w:lineRule="auto"/>
    </w:pPr>
    <w:rPr>
      <w:color w:val="000000" w:themeColor="text1"/>
      <w:sz w:val="20"/>
    </w:rPr>
  </w:style>
  <w:style w:type="paragraph" w:customStyle="1" w:styleId="FirstParagraph">
    <w:name w:val="First Paragraph"/>
    <w:basedOn w:val="Normal"/>
    <w:next w:val="Body"/>
    <w:link w:val="FirstParagraphChar"/>
    <w:qFormat/>
    <w:rsid w:val="00386588"/>
    <w:pPr>
      <w:spacing w:after="240" w:line="240" w:lineRule="auto"/>
    </w:pPr>
    <w:rPr>
      <w:rFonts w:ascii="Georgia" w:hAnsi="Georgia"/>
      <w:i/>
      <w:noProof/>
      <w:sz w:val="22"/>
      <w:szCs w:val="22"/>
    </w:rPr>
  </w:style>
  <w:style w:type="character" w:customStyle="1" w:styleId="FirstParagraphChar">
    <w:name w:val="First Paragraph Char"/>
    <w:basedOn w:val="DefaultParagraphFont"/>
    <w:link w:val="FirstParagraph"/>
    <w:rsid w:val="00386588"/>
    <w:rPr>
      <w:rFonts w:ascii="Georgia" w:hAnsi="Georgia"/>
      <w:i/>
      <w:noProof/>
      <w:color w:val="000000" w:themeColor="text1"/>
      <w:sz w:val="22"/>
      <w:szCs w:val="22"/>
    </w:rPr>
  </w:style>
  <w:style w:type="numbering" w:customStyle="1" w:styleId="ListBullet">
    <w:name w:val="__List Bullet"/>
    <w:basedOn w:val="NoList"/>
    <w:semiHidden/>
    <w:rsid w:val="00E61112"/>
    <w:pPr>
      <w:numPr>
        <w:numId w:val="11"/>
      </w:numPr>
    </w:pPr>
  </w:style>
  <w:style w:type="numbering" w:customStyle="1" w:styleId="Listnumbered">
    <w:name w:val="__List numbered"/>
    <w:basedOn w:val="NoList"/>
    <w:semiHidden/>
    <w:rsid w:val="00E61112"/>
    <w:pPr>
      <w:numPr>
        <w:numId w:val="12"/>
      </w:numPr>
    </w:pPr>
  </w:style>
  <w:style w:type="paragraph" w:customStyle="1" w:styleId="Phone">
    <w:name w:val="Phone"/>
    <w:basedOn w:val="Body"/>
    <w:rsid w:val="00AD640A"/>
    <w:pPr>
      <w:spacing w:before="240" w:after="0"/>
    </w:pPr>
  </w:style>
  <w:style w:type="paragraph" w:customStyle="1" w:styleId="TableBody">
    <w:name w:val="Table Body"/>
    <w:qFormat/>
    <w:rsid w:val="00BB5E61"/>
    <w:pPr>
      <w:spacing w:after="120" w:line="240" w:lineRule="auto"/>
      <w:ind w:left="57" w:right="57"/>
    </w:pPr>
    <w:rPr>
      <w:rFonts w:eastAsia="Times New Roman" w:cs="Times New Roman"/>
      <w:color w:val="000000" w:themeColor="text1"/>
      <w:sz w:val="20"/>
      <w:szCs w:val="15"/>
      <w:lang w:eastAsia="ja-JP"/>
    </w:rPr>
  </w:style>
  <w:style w:type="paragraph" w:customStyle="1" w:styleId="TableHeading">
    <w:name w:val="Table Heading"/>
    <w:qFormat/>
    <w:rsid w:val="00972A44"/>
    <w:pPr>
      <w:spacing w:before="100" w:beforeAutospacing="1" w:after="100" w:afterAutospacing="1" w:line="240" w:lineRule="auto"/>
      <w:ind w:left="57" w:right="-113"/>
    </w:pPr>
    <w:rPr>
      <w:rFonts w:eastAsia="Times New Roman" w:cs="Times New Roman"/>
      <w:b/>
      <w:color w:val="FFFFFF"/>
      <w:sz w:val="20"/>
      <w:szCs w:val="20"/>
      <w:lang w:val="en-US" w:eastAsia="ja-JP"/>
    </w:rPr>
  </w:style>
  <w:style w:type="character" w:styleId="FollowedHyperlink">
    <w:name w:val="FollowedHyperlink"/>
    <w:basedOn w:val="DefaultParagraphFont"/>
    <w:uiPriority w:val="99"/>
    <w:semiHidden/>
    <w:unhideWhenUsed/>
    <w:rsid w:val="009E363F"/>
    <w:rPr>
      <w:color w:val="F7A600" w:themeColor="followedHyperlink"/>
      <w:u w:val="single"/>
    </w:rPr>
  </w:style>
  <w:style w:type="character" w:styleId="CommentReference">
    <w:name w:val="annotation reference"/>
    <w:basedOn w:val="DefaultParagraphFont"/>
    <w:uiPriority w:val="99"/>
    <w:rsid w:val="005C7C3D"/>
    <w:rPr>
      <w:sz w:val="16"/>
      <w:szCs w:val="16"/>
    </w:rPr>
  </w:style>
  <w:style w:type="paragraph" w:styleId="CommentText">
    <w:name w:val="annotation text"/>
    <w:basedOn w:val="Normal"/>
    <w:link w:val="CommentTextChar"/>
    <w:uiPriority w:val="99"/>
    <w:rsid w:val="005C7C3D"/>
    <w:pPr>
      <w:spacing w:after="0" w:line="280" w:lineRule="atLeast"/>
    </w:pPr>
    <w:rPr>
      <w:rFonts w:eastAsia="Times New Roman" w:cs="Times New Roman"/>
      <w:color w:val="auto"/>
      <w:szCs w:val="20"/>
      <w:lang w:eastAsia="en-GB"/>
    </w:rPr>
  </w:style>
  <w:style w:type="character" w:customStyle="1" w:styleId="CommentTextChar">
    <w:name w:val="Comment Text Char"/>
    <w:basedOn w:val="DefaultParagraphFont"/>
    <w:link w:val="CommentText"/>
    <w:uiPriority w:val="99"/>
    <w:rsid w:val="005C7C3D"/>
    <w:rPr>
      <w:rFonts w:eastAsia="Times New Roman" w:cs="Times New Roman"/>
      <w:szCs w:val="20"/>
      <w:lang w:eastAsia="en-GB"/>
    </w:rPr>
  </w:style>
  <w:style w:type="paragraph" w:styleId="Title">
    <w:name w:val="Title"/>
    <w:basedOn w:val="FirstParagraph"/>
    <w:next w:val="Subtitle"/>
    <w:link w:val="TitleChar"/>
    <w:uiPriority w:val="10"/>
    <w:qFormat/>
    <w:rsid w:val="00D15709"/>
    <w:rPr>
      <w:color w:val="002F5F"/>
      <w:sz w:val="48"/>
      <w:szCs w:val="52"/>
    </w:rPr>
  </w:style>
  <w:style w:type="character" w:customStyle="1" w:styleId="TitleChar">
    <w:name w:val="Title Char"/>
    <w:basedOn w:val="DefaultParagraphFont"/>
    <w:link w:val="Title"/>
    <w:uiPriority w:val="10"/>
    <w:rsid w:val="00D15709"/>
    <w:rPr>
      <w:rFonts w:ascii="Georgia" w:hAnsi="Georgia"/>
      <w:i/>
      <w:noProof/>
      <w:color w:val="002F5F"/>
      <w:sz w:val="48"/>
      <w:szCs w:val="52"/>
    </w:rPr>
  </w:style>
  <w:style w:type="paragraph" w:styleId="Subtitle">
    <w:name w:val="Subtitle"/>
    <w:basedOn w:val="FirstParagraph"/>
    <w:next w:val="Body"/>
    <w:link w:val="SubtitleChar"/>
    <w:uiPriority w:val="11"/>
    <w:qFormat/>
    <w:rsid w:val="007809AB"/>
    <w:rPr>
      <w:rFonts w:ascii="Arial Bold" w:hAnsi="Arial Bold"/>
      <w:b/>
      <w:i w:val="0"/>
      <w:color w:val="00A3C7"/>
      <w:sz w:val="32"/>
      <w:szCs w:val="28"/>
    </w:rPr>
  </w:style>
  <w:style w:type="character" w:customStyle="1" w:styleId="SubtitleChar">
    <w:name w:val="Subtitle Char"/>
    <w:basedOn w:val="DefaultParagraphFont"/>
    <w:link w:val="Subtitle"/>
    <w:uiPriority w:val="11"/>
    <w:rsid w:val="007809AB"/>
    <w:rPr>
      <w:rFonts w:ascii="Arial Bold" w:hAnsi="Arial Bold"/>
      <w:b/>
      <w:noProof/>
      <w:color w:val="00A3C7"/>
      <w:sz w:val="32"/>
      <w:szCs w:val="28"/>
    </w:rPr>
  </w:style>
  <w:style w:type="paragraph" w:customStyle="1" w:styleId="HeadingShaded">
    <w:name w:val="Heading Shaded"/>
    <w:basedOn w:val="Heading1"/>
    <w:rsid w:val="0031362F"/>
    <w:pPr>
      <w:pBdr>
        <w:top w:val="single" w:sz="24" w:space="1" w:color="EFF1F1"/>
        <w:left w:val="single" w:sz="24" w:space="4" w:color="EFF1F1"/>
        <w:bottom w:val="single" w:sz="24" w:space="1" w:color="EFF1F1"/>
        <w:right w:val="single" w:sz="24" w:space="4" w:color="EFF1F1"/>
      </w:pBdr>
      <w:shd w:val="clear" w:color="auto" w:fill="EFF1F1"/>
      <w:spacing w:before="0" w:after="0"/>
    </w:pPr>
    <w:rPr>
      <w:sz w:val="20"/>
      <w:lang w:eastAsia="en-GB"/>
    </w:rPr>
  </w:style>
  <w:style w:type="paragraph" w:customStyle="1" w:styleId="BodyShaded">
    <w:name w:val="Body Shaded"/>
    <w:basedOn w:val="Normal"/>
    <w:rsid w:val="00ED0DAE"/>
    <w:pPr>
      <w:pBdr>
        <w:top w:val="single" w:sz="24" w:space="1" w:color="EFF1F1"/>
        <w:left w:val="single" w:sz="24" w:space="4" w:color="EFF1F1"/>
        <w:bottom w:val="single" w:sz="24" w:space="1" w:color="EFF1F1"/>
        <w:right w:val="single" w:sz="24" w:space="4" w:color="EFF1F1"/>
      </w:pBdr>
      <w:shd w:val="clear" w:color="auto" w:fill="EFF1F1"/>
      <w:spacing w:before="120" w:after="0" w:line="240" w:lineRule="auto"/>
    </w:pPr>
    <w:rPr>
      <w:sz w:val="16"/>
      <w:lang w:eastAsia="en-GB"/>
    </w:rPr>
  </w:style>
  <w:style w:type="paragraph" w:customStyle="1" w:styleId="Name">
    <w:name w:val="Name"/>
    <w:basedOn w:val="Normal"/>
    <w:rsid w:val="00997991"/>
    <w:pPr>
      <w:spacing w:before="240" w:after="0" w:line="240" w:lineRule="auto"/>
    </w:pPr>
    <w:rPr>
      <w:rFonts w:ascii="Georgia" w:hAnsi="Georgia"/>
      <w:i/>
      <w:color w:val="00A3C7" w:themeColor="text2"/>
      <w:sz w:val="24"/>
      <w:szCs w:val="24"/>
    </w:rPr>
  </w:style>
  <w:style w:type="paragraph" w:customStyle="1" w:styleId="NumberedHeading1">
    <w:name w:val="Numbered Heading 1"/>
    <w:basedOn w:val="Heading1"/>
    <w:next w:val="Body"/>
    <w:qFormat/>
    <w:rsid w:val="00E92684"/>
    <w:pPr>
      <w:numPr>
        <w:numId w:val="13"/>
      </w:numPr>
    </w:pPr>
  </w:style>
  <w:style w:type="paragraph" w:customStyle="1" w:styleId="Email">
    <w:name w:val="Email"/>
    <w:basedOn w:val="Phone"/>
    <w:rsid w:val="00AB0A52"/>
    <w:pPr>
      <w:spacing w:before="0" w:after="120"/>
    </w:pPr>
  </w:style>
  <w:style w:type="paragraph" w:styleId="IntenseQuote">
    <w:name w:val="Intense Quote"/>
    <w:basedOn w:val="Normal"/>
    <w:next w:val="Normal"/>
    <w:link w:val="IntenseQuoteChar"/>
    <w:uiPriority w:val="30"/>
    <w:qFormat/>
    <w:rsid w:val="001B334F"/>
    <w:pPr>
      <w:pBdr>
        <w:top w:val="single" w:sz="4" w:space="10" w:color="00A3C7" w:themeColor="text2"/>
        <w:bottom w:val="single" w:sz="4" w:space="10" w:color="00A3C7" w:themeColor="text2"/>
      </w:pBdr>
      <w:spacing w:before="360" w:after="360"/>
      <w:ind w:left="864" w:right="864"/>
      <w:jc w:val="center"/>
    </w:pPr>
    <w:rPr>
      <w:rFonts w:ascii="Georgia" w:hAnsi="Georgia"/>
      <w:i/>
      <w:iCs/>
      <w:color w:val="00A3C7" w:themeColor="text2"/>
      <w:sz w:val="24"/>
      <w:szCs w:val="24"/>
    </w:rPr>
  </w:style>
  <w:style w:type="character" w:customStyle="1" w:styleId="IntenseQuoteChar">
    <w:name w:val="Intense Quote Char"/>
    <w:basedOn w:val="DefaultParagraphFont"/>
    <w:link w:val="IntenseQuote"/>
    <w:uiPriority w:val="30"/>
    <w:rsid w:val="001B334F"/>
    <w:rPr>
      <w:rFonts w:ascii="Georgia" w:hAnsi="Georgia"/>
      <w:i/>
      <w:iCs/>
      <w:color w:val="00A3C7" w:themeColor="text2"/>
      <w:sz w:val="24"/>
      <w:szCs w:val="24"/>
    </w:rPr>
  </w:style>
  <w:style w:type="paragraph" w:customStyle="1" w:styleId="DocumentDate">
    <w:name w:val="Document Date"/>
    <w:basedOn w:val="Subtitle"/>
    <w:next w:val="FirstParagraph"/>
    <w:rsid w:val="0031362F"/>
    <w:rPr>
      <w:sz w:val="28"/>
    </w:rPr>
  </w:style>
  <w:style w:type="character" w:customStyle="1" w:styleId="Heading2Char">
    <w:name w:val="Heading 2 Char"/>
    <w:basedOn w:val="DefaultParagraphFont"/>
    <w:link w:val="Heading2"/>
    <w:semiHidden/>
    <w:rsid w:val="00F836CE"/>
    <w:rPr>
      <w:b/>
      <w:bCs/>
      <w:i/>
      <w:iCs/>
      <w:sz w:val="28"/>
      <w:szCs w:val="28"/>
    </w:rPr>
  </w:style>
  <w:style w:type="character" w:customStyle="1" w:styleId="Heading3Char">
    <w:name w:val="Heading 3 Char"/>
    <w:basedOn w:val="DefaultParagraphFont"/>
    <w:link w:val="Heading3"/>
    <w:semiHidden/>
    <w:rsid w:val="00F836CE"/>
    <w:rPr>
      <w:b/>
      <w:bCs/>
      <w:sz w:val="26"/>
      <w:szCs w:val="26"/>
    </w:rPr>
  </w:style>
  <w:style w:type="character" w:customStyle="1" w:styleId="Heading4Char">
    <w:name w:val="Heading 4 Char"/>
    <w:basedOn w:val="DefaultParagraphFont"/>
    <w:link w:val="Heading4"/>
    <w:semiHidden/>
    <w:rsid w:val="00F836CE"/>
    <w:rPr>
      <w:rFonts w:cstheme="minorBidi"/>
      <w:b/>
      <w:bCs/>
      <w:sz w:val="28"/>
      <w:szCs w:val="28"/>
    </w:rPr>
  </w:style>
  <w:style w:type="character" w:customStyle="1" w:styleId="Heading5Char">
    <w:name w:val="Heading 5 Char"/>
    <w:basedOn w:val="DefaultParagraphFont"/>
    <w:link w:val="Heading5"/>
    <w:semiHidden/>
    <w:rsid w:val="00F836CE"/>
    <w:rPr>
      <w:rFonts w:cstheme="minorBidi"/>
      <w:b/>
      <w:bCs/>
      <w:i/>
      <w:iCs/>
      <w:sz w:val="26"/>
      <w:szCs w:val="26"/>
    </w:rPr>
  </w:style>
  <w:style w:type="character" w:customStyle="1" w:styleId="Heading6Char">
    <w:name w:val="Heading 6 Char"/>
    <w:basedOn w:val="DefaultParagraphFont"/>
    <w:link w:val="Heading6"/>
    <w:semiHidden/>
    <w:rsid w:val="00F836CE"/>
    <w:rPr>
      <w:rFonts w:cstheme="minorBidi"/>
      <w:b/>
      <w:bCs/>
      <w:sz w:val="22"/>
      <w:szCs w:val="22"/>
    </w:rPr>
  </w:style>
  <w:style w:type="character" w:customStyle="1" w:styleId="Heading7Char">
    <w:name w:val="Heading 7 Char"/>
    <w:basedOn w:val="DefaultParagraphFont"/>
    <w:link w:val="Heading7"/>
    <w:semiHidden/>
    <w:rsid w:val="00F836CE"/>
    <w:rPr>
      <w:rFonts w:cstheme="minorBidi"/>
      <w:sz w:val="20"/>
      <w:szCs w:val="22"/>
    </w:rPr>
  </w:style>
  <w:style w:type="character" w:customStyle="1" w:styleId="Heading8Char">
    <w:name w:val="Heading 8 Char"/>
    <w:basedOn w:val="DefaultParagraphFont"/>
    <w:link w:val="Heading8"/>
    <w:semiHidden/>
    <w:rsid w:val="00F836CE"/>
    <w:rPr>
      <w:rFonts w:cstheme="minorBidi"/>
      <w:i/>
      <w:iCs/>
      <w:sz w:val="20"/>
      <w:szCs w:val="22"/>
    </w:rPr>
  </w:style>
  <w:style w:type="character" w:customStyle="1" w:styleId="Heading9Char">
    <w:name w:val="Heading 9 Char"/>
    <w:basedOn w:val="DefaultParagraphFont"/>
    <w:link w:val="Heading9"/>
    <w:semiHidden/>
    <w:rsid w:val="00F836CE"/>
    <w:rPr>
      <w:sz w:val="22"/>
      <w:szCs w:val="22"/>
    </w:rPr>
  </w:style>
  <w:style w:type="paragraph" w:customStyle="1" w:styleId="Tableheadinglf">
    <w:name w:val="_Table heading lf"/>
    <w:basedOn w:val="Normal"/>
    <w:qFormat/>
    <w:rsid w:val="00F836CE"/>
    <w:pPr>
      <w:keepNext/>
      <w:spacing w:before="30" w:after="90" w:line="280" w:lineRule="atLeast"/>
      <w:ind w:left="113" w:right="113"/>
    </w:pPr>
    <w:rPr>
      <w:rFonts w:eastAsia="Times New Roman" w:cs="Times New Roman"/>
      <w:b/>
      <w:color w:val="FFFFFF"/>
      <w:szCs w:val="24"/>
      <w:lang w:eastAsia="en-GB"/>
    </w:rPr>
  </w:style>
  <w:style w:type="paragraph" w:customStyle="1" w:styleId="Tabletextlf">
    <w:name w:val="_Table text lf"/>
    <w:basedOn w:val="Normal"/>
    <w:qFormat/>
    <w:rsid w:val="00F836CE"/>
    <w:pPr>
      <w:spacing w:after="0" w:line="280" w:lineRule="atLeast"/>
      <w:ind w:left="113" w:right="113"/>
    </w:pPr>
    <w:rPr>
      <w:rFonts w:eastAsia="Times New Roman" w:cs="Times New Roman"/>
      <w:color w:val="auto"/>
      <w:szCs w:val="24"/>
      <w:lang w:eastAsia="en-GB"/>
    </w:rPr>
  </w:style>
  <w:style w:type="numbering" w:styleId="ArticleSection">
    <w:name w:val="Outline List 3"/>
    <w:basedOn w:val="NoList"/>
    <w:semiHidden/>
    <w:rsid w:val="00F836CE"/>
    <w:pPr>
      <w:numPr>
        <w:numId w:val="14"/>
      </w:numPr>
    </w:pPr>
  </w:style>
  <w:style w:type="paragraph" w:customStyle="1" w:styleId="Tableheadingct">
    <w:name w:val="_Table heading ct"/>
    <w:basedOn w:val="Normal"/>
    <w:qFormat/>
    <w:rsid w:val="00484DA3"/>
    <w:pPr>
      <w:keepNext/>
      <w:spacing w:before="30" w:after="90" w:line="280" w:lineRule="atLeast"/>
      <w:ind w:left="28"/>
      <w:jc w:val="center"/>
    </w:pPr>
    <w:rPr>
      <w:rFonts w:eastAsia="Times New Roman"/>
      <w:b/>
      <w:color w:val="FFFFFF"/>
      <w:szCs w:val="24"/>
      <w:lang w:eastAsia="en-GB"/>
    </w:rPr>
  </w:style>
  <w:style w:type="paragraph" w:customStyle="1" w:styleId="Tabletitle">
    <w:name w:val="_Table title"/>
    <w:basedOn w:val="Normal"/>
    <w:rsid w:val="00484DA3"/>
    <w:pPr>
      <w:keepNext/>
      <w:keepLines/>
      <w:spacing w:after="0" w:line="280" w:lineRule="atLeast"/>
    </w:pPr>
    <w:rPr>
      <w:rFonts w:eastAsia="Times New Roman" w:cs="Times New Roman"/>
      <w:b/>
      <w:color w:val="00A3C7"/>
      <w:szCs w:val="24"/>
      <w:lang w:eastAsia="en-GB"/>
    </w:rPr>
  </w:style>
  <w:style w:type="paragraph" w:customStyle="1" w:styleId="Tabletextct">
    <w:name w:val="_Table text ct"/>
    <w:basedOn w:val="Tabletextlf"/>
    <w:rsid w:val="00484DA3"/>
    <w:pPr>
      <w:ind w:left="0" w:right="0"/>
      <w:jc w:val="center"/>
    </w:pPr>
    <w:rPr>
      <w:rFonts w:cs="Arial"/>
    </w:rPr>
  </w:style>
  <w:style w:type="paragraph" w:styleId="ListBullet3">
    <w:name w:val="List Bullet 3"/>
    <w:basedOn w:val="Normal"/>
    <w:semiHidden/>
    <w:rsid w:val="00484DA3"/>
    <w:pPr>
      <w:numPr>
        <w:numId w:val="15"/>
      </w:numPr>
      <w:spacing w:after="0" w:line="240" w:lineRule="auto"/>
    </w:pPr>
    <w:rPr>
      <w:rFonts w:cstheme="minorBidi"/>
      <w:color w:val="auto"/>
      <w:sz w:val="20"/>
      <w:szCs w:val="22"/>
    </w:rPr>
  </w:style>
  <w:style w:type="paragraph" w:styleId="CommentSubject">
    <w:name w:val="annotation subject"/>
    <w:basedOn w:val="CommentText"/>
    <w:next w:val="CommentText"/>
    <w:link w:val="CommentSubjectChar"/>
    <w:uiPriority w:val="99"/>
    <w:semiHidden/>
    <w:unhideWhenUsed/>
    <w:rsid w:val="00DD6ABA"/>
    <w:pPr>
      <w:spacing w:after="200" w:line="240" w:lineRule="auto"/>
    </w:pPr>
    <w:rPr>
      <w:rFonts w:eastAsiaTheme="minorHAnsi" w:cs="Arial"/>
      <w:b/>
      <w:bCs/>
      <w:color w:val="000000" w:themeColor="text1"/>
      <w:sz w:val="20"/>
      <w:lang w:eastAsia="en-US"/>
    </w:rPr>
  </w:style>
  <w:style w:type="character" w:customStyle="1" w:styleId="CommentSubjectChar">
    <w:name w:val="Comment Subject Char"/>
    <w:basedOn w:val="CommentTextChar"/>
    <w:link w:val="CommentSubject"/>
    <w:uiPriority w:val="99"/>
    <w:semiHidden/>
    <w:rsid w:val="00DD6ABA"/>
    <w:rPr>
      <w:rFonts w:eastAsia="Times New Roman" w:cs="Times New Roman"/>
      <w:b/>
      <w:bCs/>
      <w:color w:val="000000" w:themeColor="text1"/>
      <w:sz w:val="20"/>
      <w:szCs w:val="20"/>
      <w:lang w:eastAsia="en-GB"/>
    </w:rPr>
  </w:style>
  <w:style w:type="paragraph" w:styleId="Revision">
    <w:name w:val="Revision"/>
    <w:hidden/>
    <w:uiPriority w:val="99"/>
    <w:semiHidden/>
    <w:rsid w:val="00DD6ABA"/>
    <w:pPr>
      <w:spacing w:after="0" w:line="240" w:lineRule="auto"/>
    </w:pPr>
    <w:rPr>
      <w:color w:val="000000" w:themeColor="text1"/>
    </w:rPr>
  </w:style>
  <w:style w:type="paragraph" w:customStyle="1" w:styleId="Bullet10">
    <w:name w:val="_Bullet 1"/>
    <w:basedOn w:val="Normal"/>
    <w:qFormat/>
    <w:rsid w:val="001E472C"/>
    <w:pPr>
      <w:spacing w:after="120" w:line="280" w:lineRule="atLeast"/>
    </w:pPr>
    <w:rPr>
      <w:rFonts w:eastAsia="Times New Roman" w:cs="Times New Roman"/>
      <w:color w:val="auto"/>
      <w:szCs w:val="24"/>
      <w:lang w:eastAsia="en-GB"/>
    </w:rPr>
  </w:style>
  <w:style w:type="paragraph" w:styleId="FootnoteText">
    <w:name w:val="footnote text"/>
    <w:basedOn w:val="Normal"/>
    <w:link w:val="FootnoteTextChar"/>
    <w:uiPriority w:val="99"/>
    <w:semiHidden/>
    <w:unhideWhenUsed/>
    <w:rsid w:val="00D22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DB6"/>
    <w:rPr>
      <w:color w:val="000000" w:themeColor="text1"/>
      <w:sz w:val="20"/>
      <w:szCs w:val="20"/>
    </w:rPr>
  </w:style>
  <w:style w:type="character" w:styleId="FootnoteReference">
    <w:name w:val="footnote reference"/>
    <w:basedOn w:val="DefaultParagraphFont"/>
    <w:uiPriority w:val="99"/>
    <w:semiHidden/>
    <w:unhideWhenUsed/>
    <w:rsid w:val="00D22DB6"/>
    <w:rPr>
      <w:vertAlign w:val="superscript"/>
    </w:rPr>
  </w:style>
  <w:style w:type="character" w:styleId="Mention">
    <w:name w:val="Mention"/>
    <w:basedOn w:val="DefaultParagraphFont"/>
    <w:uiPriority w:val="99"/>
    <w:unhideWhenUsed/>
    <w:rsid w:val="009F7889"/>
    <w:rPr>
      <w:color w:val="2B579A"/>
      <w:shd w:val="clear" w:color="auto" w:fill="E1DFDD"/>
    </w:rPr>
  </w:style>
  <w:style w:type="paragraph" w:customStyle="1" w:styleId="Subhead2">
    <w:name w:val="Subhead 2"/>
    <w:basedOn w:val="ListParagraph"/>
    <w:rsid w:val="00BD0D71"/>
    <w:pPr>
      <w:numPr>
        <w:numId w:val="47"/>
      </w:numPr>
      <w:spacing w:after="200"/>
    </w:pPr>
    <w:rPr>
      <w:rFonts w:ascii="Arial" w:eastAsiaTheme="minorHAnsi" w:hAnsi="Arial" w:cs="Arial"/>
      <w:b/>
      <w:bCs/>
      <w:color w:val="2F4269"/>
      <w:sz w:val="28"/>
      <w:szCs w:val="28"/>
      <w:lang w:bidi="en-GB"/>
    </w:rPr>
  </w:style>
  <w:style w:type="character" w:customStyle="1" w:styleId="normaltextrun">
    <w:name w:val="normaltextrun"/>
    <w:basedOn w:val="DefaultParagraphFont"/>
    <w:rsid w:val="00494DC5"/>
  </w:style>
  <w:style w:type="character" w:customStyle="1" w:styleId="eop">
    <w:name w:val="eop"/>
    <w:basedOn w:val="DefaultParagraphFont"/>
    <w:rsid w:val="00494DC5"/>
  </w:style>
  <w:style w:type="paragraph" w:customStyle="1" w:styleId="paragraph">
    <w:name w:val="paragraph"/>
    <w:basedOn w:val="Normal"/>
    <w:rsid w:val="001867E2"/>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findhit">
    <w:name w:val="findhit"/>
    <w:basedOn w:val="DefaultParagraphFont"/>
    <w:rsid w:val="0018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4372">
      <w:bodyDiv w:val="1"/>
      <w:marLeft w:val="0"/>
      <w:marRight w:val="0"/>
      <w:marTop w:val="0"/>
      <w:marBottom w:val="0"/>
      <w:divBdr>
        <w:top w:val="none" w:sz="0" w:space="0" w:color="auto"/>
        <w:left w:val="none" w:sz="0" w:space="0" w:color="auto"/>
        <w:bottom w:val="none" w:sz="0" w:space="0" w:color="auto"/>
        <w:right w:val="none" w:sz="0" w:space="0" w:color="auto"/>
      </w:divBdr>
      <w:divsChild>
        <w:div w:id="1795174020">
          <w:marLeft w:val="0"/>
          <w:marRight w:val="0"/>
          <w:marTop w:val="0"/>
          <w:marBottom w:val="0"/>
          <w:divBdr>
            <w:top w:val="none" w:sz="0" w:space="0" w:color="auto"/>
            <w:left w:val="none" w:sz="0" w:space="0" w:color="auto"/>
            <w:bottom w:val="none" w:sz="0" w:space="0" w:color="auto"/>
            <w:right w:val="none" w:sz="0" w:space="0" w:color="auto"/>
          </w:divBdr>
        </w:div>
      </w:divsChild>
    </w:div>
    <w:div w:id="61680626">
      <w:bodyDiv w:val="1"/>
      <w:marLeft w:val="0"/>
      <w:marRight w:val="0"/>
      <w:marTop w:val="0"/>
      <w:marBottom w:val="0"/>
      <w:divBdr>
        <w:top w:val="none" w:sz="0" w:space="0" w:color="auto"/>
        <w:left w:val="none" w:sz="0" w:space="0" w:color="auto"/>
        <w:bottom w:val="none" w:sz="0" w:space="0" w:color="auto"/>
        <w:right w:val="none" w:sz="0" w:space="0" w:color="auto"/>
      </w:divBdr>
    </w:div>
    <w:div w:id="93942013">
      <w:bodyDiv w:val="1"/>
      <w:marLeft w:val="0"/>
      <w:marRight w:val="0"/>
      <w:marTop w:val="0"/>
      <w:marBottom w:val="0"/>
      <w:divBdr>
        <w:top w:val="none" w:sz="0" w:space="0" w:color="auto"/>
        <w:left w:val="none" w:sz="0" w:space="0" w:color="auto"/>
        <w:bottom w:val="none" w:sz="0" w:space="0" w:color="auto"/>
        <w:right w:val="none" w:sz="0" w:space="0" w:color="auto"/>
      </w:divBdr>
      <w:divsChild>
        <w:div w:id="1016808042">
          <w:marLeft w:val="0"/>
          <w:marRight w:val="0"/>
          <w:marTop w:val="0"/>
          <w:marBottom w:val="0"/>
          <w:divBdr>
            <w:top w:val="none" w:sz="0" w:space="0" w:color="auto"/>
            <w:left w:val="none" w:sz="0" w:space="0" w:color="auto"/>
            <w:bottom w:val="none" w:sz="0" w:space="0" w:color="auto"/>
            <w:right w:val="none" w:sz="0" w:space="0" w:color="auto"/>
          </w:divBdr>
        </w:div>
        <w:div w:id="1343976668">
          <w:marLeft w:val="0"/>
          <w:marRight w:val="0"/>
          <w:marTop w:val="0"/>
          <w:marBottom w:val="0"/>
          <w:divBdr>
            <w:top w:val="none" w:sz="0" w:space="0" w:color="auto"/>
            <w:left w:val="none" w:sz="0" w:space="0" w:color="auto"/>
            <w:bottom w:val="none" w:sz="0" w:space="0" w:color="auto"/>
            <w:right w:val="none" w:sz="0" w:space="0" w:color="auto"/>
          </w:divBdr>
        </w:div>
      </w:divsChild>
    </w:div>
    <w:div w:id="147786923">
      <w:bodyDiv w:val="1"/>
      <w:marLeft w:val="0"/>
      <w:marRight w:val="0"/>
      <w:marTop w:val="0"/>
      <w:marBottom w:val="0"/>
      <w:divBdr>
        <w:top w:val="none" w:sz="0" w:space="0" w:color="auto"/>
        <w:left w:val="none" w:sz="0" w:space="0" w:color="auto"/>
        <w:bottom w:val="none" w:sz="0" w:space="0" w:color="auto"/>
        <w:right w:val="none" w:sz="0" w:space="0" w:color="auto"/>
      </w:divBdr>
    </w:div>
    <w:div w:id="160123126">
      <w:bodyDiv w:val="1"/>
      <w:marLeft w:val="0"/>
      <w:marRight w:val="0"/>
      <w:marTop w:val="0"/>
      <w:marBottom w:val="0"/>
      <w:divBdr>
        <w:top w:val="none" w:sz="0" w:space="0" w:color="auto"/>
        <w:left w:val="none" w:sz="0" w:space="0" w:color="auto"/>
        <w:bottom w:val="none" w:sz="0" w:space="0" w:color="auto"/>
        <w:right w:val="none" w:sz="0" w:space="0" w:color="auto"/>
      </w:divBdr>
      <w:divsChild>
        <w:div w:id="2059237698">
          <w:marLeft w:val="0"/>
          <w:marRight w:val="0"/>
          <w:marTop w:val="0"/>
          <w:marBottom w:val="0"/>
          <w:divBdr>
            <w:top w:val="none" w:sz="0" w:space="0" w:color="auto"/>
            <w:left w:val="none" w:sz="0" w:space="0" w:color="auto"/>
            <w:bottom w:val="none" w:sz="0" w:space="0" w:color="auto"/>
            <w:right w:val="none" w:sz="0" w:space="0" w:color="auto"/>
          </w:divBdr>
        </w:div>
      </w:divsChild>
    </w:div>
    <w:div w:id="230391787">
      <w:bodyDiv w:val="1"/>
      <w:marLeft w:val="0"/>
      <w:marRight w:val="0"/>
      <w:marTop w:val="0"/>
      <w:marBottom w:val="0"/>
      <w:divBdr>
        <w:top w:val="none" w:sz="0" w:space="0" w:color="auto"/>
        <w:left w:val="none" w:sz="0" w:space="0" w:color="auto"/>
        <w:bottom w:val="none" w:sz="0" w:space="0" w:color="auto"/>
        <w:right w:val="none" w:sz="0" w:space="0" w:color="auto"/>
      </w:divBdr>
      <w:divsChild>
        <w:div w:id="342977734">
          <w:marLeft w:val="374"/>
          <w:marRight w:val="0"/>
          <w:marTop w:val="0"/>
          <w:marBottom w:val="60"/>
          <w:divBdr>
            <w:top w:val="none" w:sz="0" w:space="0" w:color="auto"/>
            <w:left w:val="none" w:sz="0" w:space="0" w:color="auto"/>
            <w:bottom w:val="none" w:sz="0" w:space="0" w:color="auto"/>
            <w:right w:val="none" w:sz="0" w:space="0" w:color="auto"/>
          </w:divBdr>
        </w:div>
        <w:div w:id="536620152">
          <w:marLeft w:val="374"/>
          <w:marRight w:val="0"/>
          <w:marTop w:val="0"/>
          <w:marBottom w:val="60"/>
          <w:divBdr>
            <w:top w:val="none" w:sz="0" w:space="0" w:color="auto"/>
            <w:left w:val="none" w:sz="0" w:space="0" w:color="auto"/>
            <w:bottom w:val="none" w:sz="0" w:space="0" w:color="auto"/>
            <w:right w:val="none" w:sz="0" w:space="0" w:color="auto"/>
          </w:divBdr>
        </w:div>
        <w:div w:id="810174703">
          <w:marLeft w:val="374"/>
          <w:marRight w:val="0"/>
          <w:marTop w:val="0"/>
          <w:marBottom w:val="60"/>
          <w:divBdr>
            <w:top w:val="none" w:sz="0" w:space="0" w:color="auto"/>
            <w:left w:val="none" w:sz="0" w:space="0" w:color="auto"/>
            <w:bottom w:val="none" w:sz="0" w:space="0" w:color="auto"/>
            <w:right w:val="none" w:sz="0" w:space="0" w:color="auto"/>
          </w:divBdr>
        </w:div>
        <w:div w:id="1489321019">
          <w:marLeft w:val="374"/>
          <w:marRight w:val="0"/>
          <w:marTop w:val="0"/>
          <w:marBottom w:val="60"/>
          <w:divBdr>
            <w:top w:val="none" w:sz="0" w:space="0" w:color="auto"/>
            <w:left w:val="none" w:sz="0" w:space="0" w:color="auto"/>
            <w:bottom w:val="none" w:sz="0" w:space="0" w:color="auto"/>
            <w:right w:val="none" w:sz="0" w:space="0" w:color="auto"/>
          </w:divBdr>
        </w:div>
        <w:div w:id="2146584440">
          <w:marLeft w:val="374"/>
          <w:marRight w:val="0"/>
          <w:marTop w:val="0"/>
          <w:marBottom w:val="60"/>
          <w:divBdr>
            <w:top w:val="none" w:sz="0" w:space="0" w:color="auto"/>
            <w:left w:val="none" w:sz="0" w:space="0" w:color="auto"/>
            <w:bottom w:val="none" w:sz="0" w:space="0" w:color="auto"/>
            <w:right w:val="none" w:sz="0" w:space="0" w:color="auto"/>
          </w:divBdr>
        </w:div>
      </w:divsChild>
    </w:div>
    <w:div w:id="245267569">
      <w:bodyDiv w:val="1"/>
      <w:marLeft w:val="0"/>
      <w:marRight w:val="0"/>
      <w:marTop w:val="0"/>
      <w:marBottom w:val="0"/>
      <w:divBdr>
        <w:top w:val="none" w:sz="0" w:space="0" w:color="auto"/>
        <w:left w:val="none" w:sz="0" w:space="0" w:color="auto"/>
        <w:bottom w:val="none" w:sz="0" w:space="0" w:color="auto"/>
        <w:right w:val="none" w:sz="0" w:space="0" w:color="auto"/>
      </w:divBdr>
    </w:div>
    <w:div w:id="265161145">
      <w:bodyDiv w:val="1"/>
      <w:marLeft w:val="0"/>
      <w:marRight w:val="0"/>
      <w:marTop w:val="0"/>
      <w:marBottom w:val="0"/>
      <w:divBdr>
        <w:top w:val="none" w:sz="0" w:space="0" w:color="auto"/>
        <w:left w:val="none" w:sz="0" w:space="0" w:color="auto"/>
        <w:bottom w:val="none" w:sz="0" w:space="0" w:color="auto"/>
        <w:right w:val="none" w:sz="0" w:space="0" w:color="auto"/>
      </w:divBdr>
    </w:div>
    <w:div w:id="268705764">
      <w:bodyDiv w:val="1"/>
      <w:marLeft w:val="0"/>
      <w:marRight w:val="0"/>
      <w:marTop w:val="0"/>
      <w:marBottom w:val="0"/>
      <w:divBdr>
        <w:top w:val="none" w:sz="0" w:space="0" w:color="auto"/>
        <w:left w:val="none" w:sz="0" w:space="0" w:color="auto"/>
        <w:bottom w:val="none" w:sz="0" w:space="0" w:color="auto"/>
        <w:right w:val="none" w:sz="0" w:space="0" w:color="auto"/>
      </w:divBdr>
    </w:div>
    <w:div w:id="282075353">
      <w:bodyDiv w:val="1"/>
      <w:marLeft w:val="0"/>
      <w:marRight w:val="0"/>
      <w:marTop w:val="0"/>
      <w:marBottom w:val="0"/>
      <w:divBdr>
        <w:top w:val="none" w:sz="0" w:space="0" w:color="auto"/>
        <w:left w:val="none" w:sz="0" w:space="0" w:color="auto"/>
        <w:bottom w:val="none" w:sz="0" w:space="0" w:color="auto"/>
        <w:right w:val="none" w:sz="0" w:space="0" w:color="auto"/>
      </w:divBdr>
    </w:div>
    <w:div w:id="282271501">
      <w:bodyDiv w:val="1"/>
      <w:marLeft w:val="0"/>
      <w:marRight w:val="0"/>
      <w:marTop w:val="0"/>
      <w:marBottom w:val="0"/>
      <w:divBdr>
        <w:top w:val="none" w:sz="0" w:space="0" w:color="auto"/>
        <w:left w:val="none" w:sz="0" w:space="0" w:color="auto"/>
        <w:bottom w:val="none" w:sz="0" w:space="0" w:color="auto"/>
        <w:right w:val="none" w:sz="0" w:space="0" w:color="auto"/>
      </w:divBdr>
    </w:div>
    <w:div w:id="301036884">
      <w:bodyDiv w:val="1"/>
      <w:marLeft w:val="0"/>
      <w:marRight w:val="0"/>
      <w:marTop w:val="0"/>
      <w:marBottom w:val="0"/>
      <w:divBdr>
        <w:top w:val="none" w:sz="0" w:space="0" w:color="auto"/>
        <w:left w:val="none" w:sz="0" w:space="0" w:color="auto"/>
        <w:bottom w:val="none" w:sz="0" w:space="0" w:color="auto"/>
        <w:right w:val="none" w:sz="0" w:space="0" w:color="auto"/>
      </w:divBdr>
    </w:div>
    <w:div w:id="301231813">
      <w:bodyDiv w:val="1"/>
      <w:marLeft w:val="0"/>
      <w:marRight w:val="0"/>
      <w:marTop w:val="0"/>
      <w:marBottom w:val="0"/>
      <w:divBdr>
        <w:top w:val="none" w:sz="0" w:space="0" w:color="auto"/>
        <w:left w:val="none" w:sz="0" w:space="0" w:color="auto"/>
        <w:bottom w:val="none" w:sz="0" w:space="0" w:color="auto"/>
        <w:right w:val="none" w:sz="0" w:space="0" w:color="auto"/>
      </w:divBdr>
    </w:div>
    <w:div w:id="311301989">
      <w:bodyDiv w:val="1"/>
      <w:marLeft w:val="0"/>
      <w:marRight w:val="0"/>
      <w:marTop w:val="0"/>
      <w:marBottom w:val="0"/>
      <w:divBdr>
        <w:top w:val="none" w:sz="0" w:space="0" w:color="auto"/>
        <w:left w:val="none" w:sz="0" w:space="0" w:color="auto"/>
        <w:bottom w:val="none" w:sz="0" w:space="0" w:color="auto"/>
        <w:right w:val="none" w:sz="0" w:space="0" w:color="auto"/>
      </w:divBdr>
    </w:div>
    <w:div w:id="329062624">
      <w:bodyDiv w:val="1"/>
      <w:marLeft w:val="0"/>
      <w:marRight w:val="0"/>
      <w:marTop w:val="0"/>
      <w:marBottom w:val="0"/>
      <w:divBdr>
        <w:top w:val="none" w:sz="0" w:space="0" w:color="auto"/>
        <w:left w:val="none" w:sz="0" w:space="0" w:color="auto"/>
        <w:bottom w:val="none" w:sz="0" w:space="0" w:color="auto"/>
        <w:right w:val="none" w:sz="0" w:space="0" w:color="auto"/>
      </w:divBdr>
    </w:div>
    <w:div w:id="334193710">
      <w:bodyDiv w:val="1"/>
      <w:marLeft w:val="0"/>
      <w:marRight w:val="0"/>
      <w:marTop w:val="0"/>
      <w:marBottom w:val="0"/>
      <w:divBdr>
        <w:top w:val="none" w:sz="0" w:space="0" w:color="auto"/>
        <w:left w:val="none" w:sz="0" w:space="0" w:color="auto"/>
        <w:bottom w:val="none" w:sz="0" w:space="0" w:color="auto"/>
        <w:right w:val="none" w:sz="0" w:space="0" w:color="auto"/>
      </w:divBdr>
    </w:div>
    <w:div w:id="337465974">
      <w:bodyDiv w:val="1"/>
      <w:marLeft w:val="0"/>
      <w:marRight w:val="0"/>
      <w:marTop w:val="0"/>
      <w:marBottom w:val="0"/>
      <w:divBdr>
        <w:top w:val="none" w:sz="0" w:space="0" w:color="auto"/>
        <w:left w:val="none" w:sz="0" w:space="0" w:color="auto"/>
        <w:bottom w:val="none" w:sz="0" w:space="0" w:color="auto"/>
        <w:right w:val="none" w:sz="0" w:space="0" w:color="auto"/>
      </w:divBdr>
      <w:divsChild>
        <w:div w:id="696392813">
          <w:marLeft w:val="0"/>
          <w:marRight w:val="0"/>
          <w:marTop w:val="0"/>
          <w:marBottom w:val="0"/>
          <w:divBdr>
            <w:top w:val="none" w:sz="0" w:space="0" w:color="auto"/>
            <w:left w:val="none" w:sz="0" w:space="0" w:color="auto"/>
            <w:bottom w:val="none" w:sz="0" w:space="0" w:color="auto"/>
            <w:right w:val="none" w:sz="0" w:space="0" w:color="auto"/>
          </w:divBdr>
        </w:div>
      </w:divsChild>
    </w:div>
    <w:div w:id="344988977">
      <w:bodyDiv w:val="1"/>
      <w:marLeft w:val="0"/>
      <w:marRight w:val="0"/>
      <w:marTop w:val="0"/>
      <w:marBottom w:val="0"/>
      <w:divBdr>
        <w:top w:val="none" w:sz="0" w:space="0" w:color="auto"/>
        <w:left w:val="none" w:sz="0" w:space="0" w:color="auto"/>
        <w:bottom w:val="none" w:sz="0" w:space="0" w:color="auto"/>
        <w:right w:val="none" w:sz="0" w:space="0" w:color="auto"/>
      </w:divBdr>
      <w:divsChild>
        <w:div w:id="1560435155">
          <w:marLeft w:val="0"/>
          <w:marRight w:val="0"/>
          <w:marTop w:val="0"/>
          <w:marBottom w:val="0"/>
          <w:divBdr>
            <w:top w:val="none" w:sz="0" w:space="0" w:color="auto"/>
            <w:left w:val="none" w:sz="0" w:space="0" w:color="auto"/>
            <w:bottom w:val="none" w:sz="0" w:space="0" w:color="auto"/>
            <w:right w:val="none" w:sz="0" w:space="0" w:color="auto"/>
          </w:divBdr>
        </w:div>
      </w:divsChild>
    </w:div>
    <w:div w:id="355236061">
      <w:bodyDiv w:val="1"/>
      <w:marLeft w:val="0"/>
      <w:marRight w:val="0"/>
      <w:marTop w:val="0"/>
      <w:marBottom w:val="0"/>
      <w:divBdr>
        <w:top w:val="none" w:sz="0" w:space="0" w:color="auto"/>
        <w:left w:val="none" w:sz="0" w:space="0" w:color="auto"/>
        <w:bottom w:val="none" w:sz="0" w:space="0" w:color="auto"/>
        <w:right w:val="none" w:sz="0" w:space="0" w:color="auto"/>
      </w:divBdr>
      <w:divsChild>
        <w:div w:id="884683286">
          <w:marLeft w:val="274"/>
          <w:marRight w:val="0"/>
          <w:marTop w:val="0"/>
          <w:marBottom w:val="120"/>
          <w:divBdr>
            <w:top w:val="none" w:sz="0" w:space="0" w:color="auto"/>
            <w:left w:val="none" w:sz="0" w:space="0" w:color="auto"/>
            <w:bottom w:val="none" w:sz="0" w:space="0" w:color="auto"/>
            <w:right w:val="none" w:sz="0" w:space="0" w:color="auto"/>
          </w:divBdr>
        </w:div>
        <w:div w:id="1586111423">
          <w:marLeft w:val="274"/>
          <w:marRight w:val="0"/>
          <w:marTop w:val="0"/>
          <w:marBottom w:val="120"/>
          <w:divBdr>
            <w:top w:val="none" w:sz="0" w:space="0" w:color="auto"/>
            <w:left w:val="none" w:sz="0" w:space="0" w:color="auto"/>
            <w:bottom w:val="none" w:sz="0" w:space="0" w:color="auto"/>
            <w:right w:val="none" w:sz="0" w:space="0" w:color="auto"/>
          </w:divBdr>
        </w:div>
        <w:div w:id="1719628573">
          <w:marLeft w:val="274"/>
          <w:marRight w:val="0"/>
          <w:marTop w:val="0"/>
          <w:marBottom w:val="120"/>
          <w:divBdr>
            <w:top w:val="none" w:sz="0" w:space="0" w:color="auto"/>
            <w:left w:val="none" w:sz="0" w:space="0" w:color="auto"/>
            <w:bottom w:val="none" w:sz="0" w:space="0" w:color="auto"/>
            <w:right w:val="none" w:sz="0" w:space="0" w:color="auto"/>
          </w:divBdr>
        </w:div>
        <w:div w:id="1778866898">
          <w:marLeft w:val="274"/>
          <w:marRight w:val="0"/>
          <w:marTop w:val="0"/>
          <w:marBottom w:val="120"/>
          <w:divBdr>
            <w:top w:val="none" w:sz="0" w:space="0" w:color="auto"/>
            <w:left w:val="none" w:sz="0" w:space="0" w:color="auto"/>
            <w:bottom w:val="none" w:sz="0" w:space="0" w:color="auto"/>
            <w:right w:val="none" w:sz="0" w:space="0" w:color="auto"/>
          </w:divBdr>
        </w:div>
      </w:divsChild>
    </w:div>
    <w:div w:id="372654144">
      <w:bodyDiv w:val="1"/>
      <w:marLeft w:val="0"/>
      <w:marRight w:val="0"/>
      <w:marTop w:val="0"/>
      <w:marBottom w:val="0"/>
      <w:divBdr>
        <w:top w:val="none" w:sz="0" w:space="0" w:color="auto"/>
        <w:left w:val="none" w:sz="0" w:space="0" w:color="auto"/>
        <w:bottom w:val="none" w:sz="0" w:space="0" w:color="auto"/>
        <w:right w:val="none" w:sz="0" w:space="0" w:color="auto"/>
      </w:divBdr>
    </w:div>
    <w:div w:id="373040281">
      <w:bodyDiv w:val="1"/>
      <w:marLeft w:val="0"/>
      <w:marRight w:val="0"/>
      <w:marTop w:val="0"/>
      <w:marBottom w:val="0"/>
      <w:divBdr>
        <w:top w:val="none" w:sz="0" w:space="0" w:color="auto"/>
        <w:left w:val="none" w:sz="0" w:space="0" w:color="auto"/>
        <w:bottom w:val="none" w:sz="0" w:space="0" w:color="auto"/>
        <w:right w:val="none" w:sz="0" w:space="0" w:color="auto"/>
      </w:divBdr>
    </w:div>
    <w:div w:id="394939091">
      <w:bodyDiv w:val="1"/>
      <w:marLeft w:val="0"/>
      <w:marRight w:val="0"/>
      <w:marTop w:val="0"/>
      <w:marBottom w:val="0"/>
      <w:divBdr>
        <w:top w:val="none" w:sz="0" w:space="0" w:color="auto"/>
        <w:left w:val="none" w:sz="0" w:space="0" w:color="auto"/>
        <w:bottom w:val="none" w:sz="0" w:space="0" w:color="auto"/>
        <w:right w:val="none" w:sz="0" w:space="0" w:color="auto"/>
      </w:divBdr>
    </w:div>
    <w:div w:id="411439626">
      <w:bodyDiv w:val="1"/>
      <w:marLeft w:val="0"/>
      <w:marRight w:val="0"/>
      <w:marTop w:val="0"/>
      <w:marBottom w:val="0"/>
      <w:divBdr>
        <w:top w:val="none" w:sz="0" w:space="0" w:color="auto"/>
        <w:left w:val="none" w:sz="0" w:space="0" w:color="auto"/>
        <w:bottom w:val="none" w:sz="0" w:space="0" w:color="auto"/>
        <w:right w:val="none" w:sz="0" w:space="0" w:color="auto"/>
      </w:divBdr>
    </w:div>
    <w:div w:id="429005702">
      <w:bodyDiv w:val="1"/>
      <w:marLeft w:val="0"/>
      <w:marRight w:val="0"/>
      <w:marTop w:val="0"/>
      <w:marBottom w:val="0"/>
      <w:divBdr>
        <w:top w:val="none" w:sz="0" w:space="0" w:color="auto"/>
        <w:left w:val="none" w:sz="0" w:space="0" w:color="auto"/>
        <w:bottom w:val="none" w:sz="0" w:space="0" w:color="auto"/>
        <w:right w:val="none" w:sz="0" w:space="0" w:color="auto"/>
      </w:divBdr>
    </w:div>
    <w:div w:id="455098796">
      <w:bodyDiv w:val="1"/>
      <w:marLeft w:val="0"/>
      <w:marRight w:val="0"/>
      <w:marTop w:val="0"/>
      <w:marBottom w:val="0"/>
      <w:divBdr>
        <w:top w:val="none" w:sz="0" w:space="0" w:color="auto"/>
        <w:left w:val="none" w:sz="0" w:space="0" w:color="auto"/>
        <w:bottom w:val="none" w:sz="0" w:space="0" w:color="auto"/>
        <w:right w:val="none" w:sz="0" w:space="0" w:color="auto"/>
      </w:divBdr>
      <w:divsChild>
        <w:div w:id="662004587">
          <w:marLeft w:val="0"/>
          <w:marRight w:val="0"/>
          <w:marTop w:val="0"/>
          <w:marBottom w:val="0"/>
          <w:divBdr>
            <w:top w:val="none" w:sz="0" w:space="0" w:color="auto"/>
            <w:left w:val="none" w:sz="0" w:space="0" w:color="auto"/>
            <w:bottom w:val="none" w:sz="0" w:space="0" w:color="auto"/>
            <w:right w:val="none" w:sz="0" w:space="0" w:color="auto"/>
          </w:divBdr>
        </w:div>
      </w:divsChild>
    </w:div>
    <w:div w:id="471218575">
      <w:bodyDiv w:val="1"/>
      <w:marLeft w:val="0"/>
      <w:marRight w:val="0"/>
      <w:marTop w:val="0"/>
      <w:marBottom w:val="0"/>
      <w:divBdr>
        <w:top w:val="none" w:sz="0" w:space="0" w:color="auto"/>
        <w:left w:val="none" w:sz="0" w:space="0" w:color="auto"/>
        <w:bottom w:val="none" w:sz="0" w:space="0" w:color="auto"/>
        <w:right w:val="none" w:sz="0" w:space="0" w:color="auto"/>
      </w:divBdr>
    </w:div>
    <w:div w:id="471561009">
      <w:bodyDiv w:val="1"/>
      <w:marLeft w:val="0"/>
      <w:marRight w:val="0"/>
      <w:marTop w:val="0"/>
      <w:marBottom w:val="0"/>
      <w:divBdr>
        <w:top w:val="none" w:sz="0" w:space="0" w:color="auto"/>
        <w:left w:val="none" w:sz="0" w:space="0" w:color="auto"/>
        <w:bottom w:val="none" w:sz="0" w:space="0" w:color="auto"/>
        <w:right w:val="none" w:sz="0" w:space="0" w:color="auto"/>
      </w:divBdr>
    </w:div>
    <w:div w:id="475420537">
      <w:bodyDiv w:val="1"/>
      <w:marLeft w:val="0"/>
      <w:marRight w:val="0"/>
      <w:marTop w:val="0"/>
      <w:marBottom w:val="0"/>
      <w:divBdr>
        <w:top w:val="none" w:sz="0" w:space="0" w:color="auto"/>
        <w:left w:val="none" w:sz="0" w:space="0" w:color="auto"/>
        <w:bottom w:val="none" w:sz="0" w:space="0" w:color="auto"/>
        <w:right w:val="none" w:sz="0" w:space="0" w:color="auto"/>
      </w:divBdr>
      <w:divsChild>
        <w:div w:id="946234532">
          <w:marLeft w:val="0"/>
          <w:marRight w:val="0"/>
          <w:marTop w:val="0"/>
          <w:marBottom w:val="0"/>
          <w:divBdr>
            <w:top w:val="none" w:sz="0" w:space="0" w:color="auto"/>
            <w:left w:val="none" w:sz="0" w:space="0" w:color="auto"/>
            <w:bottom w:val="none" w:sz="0" w:space="0" w:color="auto"/>
            <w:right w:val="none" w:sz="0" w:space="0" w:color="auto"/>
          </w:divBdr>
        </w:div>
      </w:divsChild>
    </w:div>
    <w:div w:id="477723814">
      <w:bodyDiv w:val="1"/>
      <w:marLeft w:val="0"/>
      <w:marRight w:val="0"/>
      <w:marTop w:val="0"/>
      <w:marBottom w:val="0"/>
      <w:divBdr>
        <w:top w:val="none" w:sz="0" w:space="0" w:color="auto"/>
        <w:left w:val="none" w:sz="0" w:space="0" w:color="auto"/>
        <w:bottom w:val="none" w:sz="0" w:space="0" w:color="auto"/>
        <w:right w:val="none" w:sz="0" w:space="0" w:color="auto"/>
      </w:divBdr>
      <w:divsChild>
        <w:div w:id="969285794">
          <w:marLeft w:val="0"/>
          <w:marRight w:val="0"/>
          <w:marTop w:val="0"/>
          <w:marBottom w:val="0"/>
          <w:divBdr>
            <w:top w:val="none" w:sz="0" w:space="0" w:color="auto"/>
            <w:left w:val="none" w:sz="0" w:space="0" w:color="auto"/>
            <w:bottom w:val="none" w:sz="0" w:space="0" w:color="auto"/>
            <w:right w:val="none" w:sz="0" w:space="0" w:color="auto"/>
          </w:divBdr>
        </w:div>
        <w:div w:id="1933779748">
          <w:marLeft w:val="0"/>
          <w:marRight w:val="0"/>
          <w:marTop w:val="0"/>
          <w:marBottom w:val="0"/>
          <w:divBdr>
            <w:top w:val="none" w:sz="0" w:space="0" w:color="auto"/>
            <w:left w:val="none" w:sz="0" w:space="0" w:color="auto"/>
            <w:bottom w:val="none" w:sz="0" w:space="0" w:color="auto"/>
            <w:right w:val="none" w:sz="0" w:space="0" w:color="auto"/>
          </w:divBdr>
        </w:div>
      </w:divsChild>
    </w:div>
    <w:div w:id="636838491">
      <w:bodyDiv w:val="1"/>
      <w:marLeft w:val="0"/>
      <w:marRight w:val="0"/>
      <w:marTop w:val="0"/>
      <w:marBottom w:val="0"/>
      <w:divBdr>
        <w:top w:val="none" w:sz="0" w:space="0" w:color="auto"/>
        <w:left w:val="none" w:sz="0" w:space="0" w:color="auto"/>
        <w:bottom w:val="none" w:sz="0" w:space="0" w:color="auto"/>
        <w:right w:val="none" w:sz="0" w:space="0" w:color="auto"/>
      </w:divBdr>
      <w:divsChild>
        <w:div w:id="654916805">
          <w:marLeft w:val="0"/>
          <w:marRight w:val="0"/>
          <w:marTop w:val="0"/>
          <w:marBottom w:val="0"/>
          <w:divBdr>
            <w:top w:val="none" w:sz="0" w:space="0" w:color="auto"/>
            <w:left w:val="none" w:sz="0" w:space="0" w:color="auto"/>
            <w:bottom w:val="none" w:sz="0" w:space="0" w:color="auto"/>
            <w:right w:val="none" w:sz="0" w:space="0" w:color="auto"/>
          </w:divBdr>
        </w:div>
        <w:div w:id="1805612114">
          <w:marLeft w:val="0"/>
          <w:marRight w:val="0"/>
          <w:marTop w:val="0"/>
          <w:marBottom w:val="0"/>
          <w:divBdr>
            <w:top w:val="none" w:sz="0" w:space="0" w:color="auto"/>
            <w:left w:val="none" w:sz="0" w:space="0" w:color="auto"/>
            <w:bottom w:val="none" w:sz="0" w:space="0" w:color="auto"/>
            <w:right w:val="none" w:sz="0" w:space="0" w:color="auto"/>
          </w:divBdr>
        </w:div>
      </w:divsChild>
    </w:div>
    <w:div w:id="648174073">
      <w:bodyDiv w:val="1"/>
      <w:marLeft w:val="0"/>
      <w:marRight w:val="0"/>
      <w:marTop w:val="0"/>
      <w:marBottom w:val="0"/>
      <w:divBdr>
        <w:top w:val="none" w:sz="0" w:space="0" w:color="auto"/>
        <w:left w:val="none" w:sz="0" w:space="0" w:color="auto"/>
        <w:bottom w:val="none" w:sz="0" w:space="0" w:color="auto"/>
        <w:right w:val="none" w:sz="0" w:space="0" w:color="auto"/>
      </w:divBdr>
    </w:div>
    <w:div w:id="686709808">
      <w:bodyDiv w:val="1"/>
      <w:marLeft w:val="0"/>
      <w:marRight w:val="0"/>
      <w:marTop w:val="0"/>
      <w:marBottom w:val="0"/>
      <w:divBdr>
        <w:top w:val="none" w:sz="0" w:space="0" w:color="auto"/>
        <w:left w:val="none" w:sz="0" w:space="0" w:color="auto"/>
        <w:bottom w:val="none" w:sz="0" w:space="0" w:color="auto"/>
        <w:right w:val="none" w:sz="0" w:space="0" w:color="auto"/>
      </w:divBdr>
      <w:divsChild>
        <w:div w:id="259260610">
          <w:marLeft w:val="0"/>
          <w:marRight w:val="0"/>
          <w:marTop w:val="0"/>
          <w:marBottom w:val="0"/>
          <w:divBdr>
            <w:top w:val="none" w:sz="0" w:space="0" w:color="auto"/>
            <w:left w:val="none" w:sz="0" w:space="0" w:color="auto"/>
            <w:bottom w:val="none" w:sz="0" w:space="0" w:color="auto"/>
            <w:right w:val="none" w:sz="0" w:space="0" w:color="auto"/>
          </w:divBdr>
        </w:div>
        <w:div w:id="285428836">
          <w:marLeft w:val="0"/>
          <w:marRight w:val="0"/>
          <w:marTop w:val="0"/>
          <w:marBottom w:val="0"/>
          <w:divBdr>
            <w:top w:val="none" w:sz="0" w:space="0" w:color="auto"/>
            <w:left w:val="none" w:sz="0" w:space="0" w:color="auto"/>
            <w:bottom w:val="none" w:sz="0" w:space="0" w:color="auto"/>
            <w:right w:val="none" w:sz="0" w:space="0" w:color="auto"/>
          </w:divBdr>
        </w:div>
      </w:divsChild>
    </w:div>
    <w:div w:id="768543080">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7">
          <w:marLeft w:val="0"/>
          <w:marRight w:val="0"/>
          <w:marTop w:val="0"/>
          <w:marBottom w:val="0"/>
          <w:divBdr>
            <w:top w:val="none" w:sz="0" w:space="0" w:color="auto"/>
            <w:left w:val="none" w:sz="0" w:space="0" w:color="auto"/>
            <w:bottom w:val="none" w:sz="0" w:space="0" w:color="auto"/>
            <w:right w:val="none" w:sz="0" w:space="0" w:color="auto"/>
          </w:divBdr>
        </w:div>
      </w:divsChild>
    </w:div>
    <w:div w:id="775908052">
      <w:bodyDiv w:val="1"/>
      <w:marLeft w:val="0"/>
      <w:marRight w:val="0"/>
      <w:marTop w:val="0"/>
      <w:marBottom w:val="0"/>
      <w:divBdr>
        <w:top w:val="none" w:sz="0" w:space="0" w:color="auto"/>
        <w:left w:val="none" w:sz="0" w:space="0" w:color="auto"/>
        <w:bottom w:val="none" w:sz="0" w:space="0" w:color="auto"/>
        <w:right w:val="none" w:sz="0" w:space="0" w:color="auto"/>
      </w:divBdr>
    </w:div>
    <w:div w:id="795031675">
      <w:bodyDiv w:val="1"/>
      <w:marLeft w:val="0"/>
      <w:marRight w:val="0"/>
      <w:marTop w:val="0"/>
      <w:marBottom w:val="0"/>
      <w:divBdr>
        <w:top w:val="none" w:sz="0" w:space="0" w:color="auto"/>
        <w:left w:val="none" w:sz="0" w:space="0" w:color="auto"/>
        <w:bottom w:val="none" w:sz="0" w:space="0" w:color="auto"/>
        <w:right w:val="none" w:sz="0" w:space="0" w:color="auto"/>
      </w:divBdr>
    </w:div>
    <w:div w:id="795638816">
      <w:bodyDiv w:val="1"/>
      <w:marLeft w:val="0"/>
      <w:marRight w:val="0"/>
      <w:marTop w:val="0"/>
      <w:marBottom w:val="0"/>
      <w:divBdr>
        <w:top w:val="none" w:sz="0" w:space="0" w:color="auto"/>
        <w:left w:val="none" w:sz="0" w:space="0" w:color="auto"/>
        <w:bottom w:val="none" w:sz="0" w:space="0" w:color="auto"/>
        <w:right w:val="none" w:sz="0" w:space="0" w:color="auto"/>
      </w:divBdr>
    </w:div>
    <w:div w:id="808787715">
      <w:bodyDiv w:val="1"/>
      <w:marLeft w:val="0"/>
      <w:marRight w:val="0"/>
      <w:marTop w:val="0"/>
      <w:marBottom w:val="0"/>
      <w:divBdr>
        <w:top w:val="none" w:sz="0" w:space="0" w:color="auto"/>
        <w:left w:val="none" w:sz="0" w:space="0" w:color="auto"/>
        <w:bottom w:val="none" w:sz="0" w:space="0" w:color="auto"/>
        <w:right w:val="none" w:sz="0" w:space="0" w:color="auto"/>
      </w:divBdr>
    </w:div>
    <w:div w:id="823593348">
      <w:bodyDiv w:val="1"/>
      <w:marLeft w:val="0"/>
      <w:marRight w:val="0"/>
      <w:marTop w:val="0"/>
      <w:marBottom w:val="0"/>
      <w:divBdr>
        <w:top w:val="none" w:sz="0" w:space="0" w:color="auto"/>
        <w:left w:val="none" w:sz="0" w:space="0" w:color="auto"/>
        <w:bottom w:val="none" w:sz="0" w:space="0" w:color="auto"/>
        <w:right w:val="none" w:sz="0" w:space="0" w:color="auto"/>
      </w:divBdr>
    </w:div>
    <w:div w:id="839736330">
      <w:bodyDiv w:val="1"/>
      <w:marLeft w:val="0"/>
      <w:marRight w:val="0"/>
      <w:marTop w:val="0"/>
      <w:marBottom w:val="0"/>
      <w:divBdr>
        <w:top w:val="none" w:sz="0" w:space="0" w:color="auto"/>
        <w:left w:val="none" w:sz="0" w:space="0" w:color="auto"/>
        <w:bottom w:val="none" w:sz="0" w:space="0" w:color="auto"/>
        <w:right w:val="none" w:sz="0" w:space="0" w:color="auto"/>
      </w:divBdr>
      <w:divsChild>
        <w:div w:id="1333992867">
          <w:marLeft w:val="374"/>
          <w:marRight w:val="0"/>
          <w:marTop w:val="0"/>
          <w:marBottom w:val="120"/>
          <w:divBdr>
            <w:top w:val="none" w:sz="0" w:space="0" w:color="auto"/>
            <w:left w:val="none" w:sz="0" w:space="0" w:color="auto"/>
            <w:bottom w:val="none" w:sz="0" w:space="0" w:color="auto"/>
            <w:right w:val="none" w:sz="0" w:space="0" w:color="auto"/>
          </w:divBdr>
        </w:div>
        <w:div w:id="1530601252">
          <w:marLeft w:val="374"/>
          <w:marRight w:val="0"/>
          <w:marTop w:val="0"/>
          <w:marBottom w:val="120"/>
          <w:divBdr>
            <w:top w:val="none" w:sz="0" w:space="0" w:color="auto"/>
            <w:left w:val="none" w:sz="0" w:space="0" w:color="auto"/>
            <w:bottom w:val="none" w:sz="0" w:space="0" w:color="auto"/>
            <w:right w:val="none" w:sz="0" w:space="0" w:color="auto"/>
          </w:divBdr>
        </w:div>
        <w:div w:id="1592592005">
          <w:marLeft w:val="374"/>
          <w:marRight w:val="0"/>
          <w:marTop w:val="0"/>
          <w:marBottom w:val="120"/>
          <w:divBdr>
            <w:top w:val="none" w:sz="0" w:space="0" w:color="auto"/>
            <w:left w:val="none" w:sz="0" w:space="0" w:color="auto"/>
            <w:bottom w:val="none" w:sz="0" w:space="0" w:color="auto"/>
            <w:right w:val="none" w:sz="0" w:space="0" w:color="auto"/>
          </w:divBdr>
        </w:div>
      </w:divsChild>
    </w:div>
    <w:div w:id="842933416">
      <w:bodyDiv w:val="1"/>
      <w:marLeft w:val="0"/>
      <w:marRight w:val="0"/>
      <w:marTop w:val="0"/>
      <w:marBottom w:val="0"/>
      <w:divBdr>
        <w:top w:val="none" w:sz="0" w:space="0" w:color="auto"/>
        <w:left w:val="none" w:sz="0" w:space="0" w:color="auto"/>
        <w:bottom w:val="none" w:sz="0" w:space="0" w:color="auto"/>
        <w:right w:val="none" w:sz="0" w:space="0" w:color="auto"/>
      </w:divBdr>
    </w:div>
    <w:div w:id="847869332">
      <w:bodyDiv w:val="1"/>
      <w:marLeft w:val="0"/>
      <w:marRight w:val="0"/>
      <w:marTop w:val="0"/>
      <w:marBottom w:val="0"/>
      <w:divBdr>
        <w:top w:val="none" w:sz="0" w:space="0" w:color="auto"/>
        <w:left w:val="none" w:sz="0" w:space="0" w:color="auto"/>
        <w:bottom w:val="none" w:sz="0" w:space="0" w:color="auto"/>
        <w:right w:val="none" w:sz="0" w:space="0" w:color="auto"/>
      </w:divBdr>
    </w:div>
    <w:div w:id="857474422">
      <w:bodyDiv w:val="1"/>
      <w:marLeft w:val="0"/>
      <w:marRight w:val="0"/>
      <w:marTop w:val="0"/>
      <w:marBottom w:val="0"/>
      <w:divBdr>
        <w:top w:val="none" w:sz="0" w:space="0" w:color="auto"/>
        <w:left w:val="none" w:sz="0" w:space="0" w:color="auto"/>
        <w:bottom w:val="none" w:sz="0" w:space="0" w:color="auto"/>
        <w:right w:val="none" w:sz="0" w:space="0" w:color="auto"/>
      </w:divBdr>
    </w:div>
    <w:div w:id="906066090">
      <w:bodyDiv w:val="1"/>
      <w:marLeft w:val="0"/>
      <w:marRight w:val="0"/>
      <w:marTop w:val="0"/>
      <w:marBottom w:val="0"/>
      <w:divBdr>
        <w:top w:val="none" w:sz="0" w:space="0" w:color="auto"/>
        <w:left w:val="none" w:sz="0" w:space="0" w:color="auto"/>
        <w:bottom w:val="none" w:sz="0" w:space="0" w:color="auto"/>
        <w:right w:val="none" w:sz="0" w:space="0" w:color="auto"/>
      </w:divBdr>
      <w:divsChild>
        <w:div w:id="224950735">
          <w:marLeft w:val="0"/>
          <w:marRight w:val="0"/>
          <w:marTop w:val="0"/>
          <w:marBottom w:val="0"/>
          <w:divBdr>
            <w:top w:val="none" w:sz="0" w:space="0" w:color="auto"/>
            <w:left w:val="none" w:sz="0" w:space="0" w:color="auto"/>
            <w:bottom w:val="none" w:sz="0" w:space="0" w:color="auto"/>
            <w:right w:val="none" w:sz="0" w:space="0" w:color="auto"/>
          </w:divBdr>
        </w:div>
      </w:divsChild>
    </w:div>
    <w:div w:id="906651902">
      <w:bodyDiv w:val="1"/>
      <w:marLeft w:val="0"/>
      <w:marRight w:val="0"/>
      <w:marTop w:val="0"/>
      <w:marBottom w:val="0"/>
      <w:divBdr>
        <w:top w:val="none" w:sz="0" w:space="0" w:color="auto"/>
        <w:left w:val="none" w:sz="0" w:space="0" w:color="auto"/>
        <w:bottom w:val="none" w:sz="0" w:space="0" w:color="auto"/>
        <w:right w:val="none" w:sz="0" w:space="0" w:color="auto"/>
      </w:divBdr>
    </w:div>
    <w:div w:id="916130696">
      <w:bodyDiv w:val="1"/>
      <w:marLeft w:val="0"/>
      <w:marRight w:val="0"/>
      <w:marTop w:val="0"/>
      <w:marBottom w:val="0"/>
      <w:divBdr>
        <w:top w:val="none" w:sz="0" w:space="0" w:color="auto"/>
        <w:left w:val="none" w:sz="0" w:space="0" w:color="auto"/>
        <w:bottom w:val="none" w:sz="0" w:space="0" w:color="auto"/>
        <w:right w:val="none" w:sz="0" w:space="0" w:color="auto"/>
      </w:divBdr>
    </w:div>
    <w:div w:id="916475564">
      <w:bodyDiv w:val="1"/>
      <w:marLeft w:val="0"/>
      <w:marRight w:val="0"/>
      <w:marTop w:val="0"/>
      <w:marBottom w:val="0"/>
      <w:divBdr>
        <w:top w:val="none" w:sz="0" w:space="0" w:color="auto"/>
        <w:left w:val="none" w:sz="0" w:space="0" w:color="auto"/>
        <w:bottom w:val="none" w:sz="0" w:space="0" w:color="auto"/>
        <w:right w:val="none" w:sz="0" w:space="0" w:color="auto"/>
      </w:divBdr>
    </w:div>
    <w:div w:id="918441895">
      <w:bodyDiv w:val="1"/>
      <w:marLeft w:val="0"/>
      <w:marRight w:val="0"/>
      <w:marTop w:val="0"/>
      <w:marBottom w:val="0"/>
      <w:divBdr>
        <w:top w:val="none" w:sz="0" w:space="0" w:color="auto"/>
        <w:left w:val="none" w:sz="0" w:space="0" w:color="auto"/>
        <w:bottom w:val="none" w:sz="0" w:space="0" w:color="auto"/>
        <w:right w:val="none" w:sz="0" w:space="0" w:color="auto"/>
      </w:divBdr>
      <w:divsChild>
        <w:div w:id="445002196">
          <w:marLeft w:val="0"/>
          <w:marRight w:val="0"/>
          <w:marTop w:val="0"/>
          <w:marBottom w:val="0"/>
          <w:divBdr>
            <w:top w:val="none" w:sz="0" w:space="0" w:color="auto"/>
            <w:left w:val="none" w:sz="0" w:space="0" w:color="auto"/>
            <w:bottom w:val="none" w:sz="0" w:space="0" w:color="auto"/>
            <w:right w:val="none" w:sz="0" w:space="0" w:color="auto"/>
          </w:divBdr>
        </w:div>
        <w:div w:id="778986501">
          <w:marLeft w:val="0"/>
          <w:marRight w:val="0"/>
          <w:marTop w:val="0"/>
          <w:marBottom w:val="0"/>
          <w:divBdr>
            <w:top w:val="none" w:sz="0" w:space="0" w:color="auto"/>
            <w:left w:val="none" w:sz="0" w:space="0" w:color="auto"/>
            <w:bottom w:val="none" w:sz="0" w:space="0" w:color="auto"/>
            <w:right w:val="none" w:sz="0" w:space="0" w:color="auto"/>
          </w:divBdr>
        </w:div>
      </w:divsChild>
    </w:div>
    <w:div w:id="923412993">
      <w:bodyDiv w:val="1"/>
      <w:marLeft w:val="0"/>
      <w:marRight w:val="0"/>
      <w:marTop w:val="0"/>
      <w:marBottom w:val="0"/>
      <w:divBdr>
        <w:top w:val="none" w:sz="0" w:space="0" w:color="auto"/>
        <w:left w:val="none" w:sz="0" w:space="0" w:color="auto"/>
        <w:bottom w:val="none" w:sz="0" w:space="0" w:color="auto"/>
        <w:right w:val="none" w:sz="0" w:space="0" w:color="auto"/>
      </w:divBdr>
    </w:div>
    <w:div w:id="954364940">
      <w:bodyDiv w:val="1"/>
      <w:marLeft w:val="0"/>
      <w:marRight w:val="0"/>
      <w:marTop w:val="0"/>
      <w:marBottom w:val="0"/>
      <w:divBdr>
        <w:top w:val="none" w:sz="0" w:space="0" w:color="auto"/>
        <w:left w:val="none" w:sz="0" w:space="0" w:color="auto"/>
        <w:bottom w:val="none" w:sz="0" w:space="0" w:color="auto"/>
        <w:right w:val="none" w:sz="0" w:space="0" w:color="auto"/>
      </w:divBdr>
    </w:div>
    <w:div w:id="958612431">
      <w:bodyDiv w:val="1"/>
      <w:marLeft w:val="0"/>
      <w:marRight w:val="0"/>
      <w:marTop w:val="0"/>
      <w:marBottom w:val="0"/>
      <w:divBdr>
        <w:top w:val="none" w:sz="0" w:space="0" w:color="auto"/>
        <w:left w:val="none" w:sz="0" w:space="0" w:color="auto"/>
        <w:bottom w:val="none" w:sz="0" w:space="0" w:color="auto"/>
        <w:right w:val="none" w:sz="0" w:space="0" w:color="auto"/>
      </w:divBdr>
    </w:div>
    <w:div w:id="959992997">
      <w:bodyDiv w:val="1"/>
      <w:marLeft w:val="0"/>
      <w:marRight w:val="0"/>
      <w:marTop w:val="0"/>
      <w:marBottom w:val="0"/>
      <w:divBdr>
        <w:top w:val="none" w:sz="0" w:space="0" w:color="auto"/>
        <w:left w:val="none" w:sz="0" w:space="0" w:color="auto"/>
        <w:bottom w:val="none" w:sz="0" w:space="0" w:color="auto"/>
        <w:right w:val="none" w:sz="0" w:space="0" w:color="auto"/>
      </w:divBdr>
    </w:div>
    <w:div w:id="966468343">
      <w:bodyDiv w:val="1"/>
      <w:marLeft w:val="0"/>
      <w:marRight w:val="0"/>
      <w:marTop w:val="0"/>
      <w:marBottom w:val="0"/>
      <w:divBdr>
        <w:top w:val="none" w:sz="0" w:space="0" w:color="auto"/>
        <w:left w:val="none" w:sz="0" w:space="0" w:color="auto"/>
        <w:bottom w:val="none" w:sz="0" w:space="0" w:color="auto"/>
        <w:right w:val="none" w:sz="0" w:space="0" w:color="auto"/>
      </w:divBdr>
    </w:div>
    <w:div w:id="987170653">
      <w:bodyDiv w:val="1"/>
      <w:marLeft w:val="0"/>
      <w:marRight w:val="0"/>
      <w:marTop w:val="0"/>
      <w:marBottom w:val="0"/>
      <w:divBdr>
        <w:top w:val="none" w:sz="0" w:space="0" w:color="auto"/>
        <w:left w:val="none" w:sz="0" w:space="0" w:color="auto"/>
        <w:bottom w:val="none" w:sz="0" w:space="0" w:color="auto"/>
        <w:right w:val="none" w:sz="0" w:space="0" w:color="auto"/>
      </w:divBdr>
    </w:div>
    <w:div w:id="1011488940">
      <w:bodyDiv w:val="1"/>
      <w:marLeft w:val="0"/>
      <w:marRight w:val="0"/>
      <w:marTop w:val="0"/>
      <w:marBottom w:val="0"/>
      <w:divBdr>
        <w:top w:val="none" w:sz="0" w:space="0" w:color="auto"/>
        <w:left w:val="none" w:sz="0" w:space="0" w:color="auto"/>
        <w:bottom w:val="none" w:sz="0" w:space="0" w:color="auto"/>
        <w:right w:val="none" w:sz="0" w:space="0" w:color="auto"/>
      </w:divBdr>
    </w:div>
    <w:div w:id="1062950281">
      <w:bodyDiv w:val="1"/>
      <w:marLeft w:val="0"/>
      <w:marRight w:val="0"/>
      <w:marTop w:val="0"/>
      <w:marBottom w:val="0"/>
      <w:divBdr>
        <w:top w:val="none" w:sz="0" w:space="0" w:color="auto"/>
        <w:left w:val="none" w:sz="0" w:space="0" w:color="auto"/>
        <w:bottom w:val="none" w:sz="0" w:space="0" w:color="auto"/>
        <w:right w:val="none" w:sz="0" w:space="0" w:color="auto"/>
      </w:divBdr>
    </w:div>
    <w:div w:id="1073509423">
      <w:bodyDiv w:val="1"/>
      <w:marLeft w:val="0"/>
      <w:marRight w:val="0"/>
      <w:marTop w:val="0"/>
      <w:marBottom w:val="0"/>
      <w:divBdr>
        <w:top w:val="none" w:sz="0" w:space="0" w:color="auto"/>
        <w:left w:val="none" w:sz="0" w:space="0" w:color="auto"/>
        <w:bottom w:val="none" w:sz="0" w:space="0" w:color="auto"/>
        <w:right w:val="none" w:sz="0" w:space="0" w:color="auto"/>
      </w:divBdr>
    </w:div>
    <w:div w:id="1080370302">
      <w:bodyDiv w:val="1"/>
      <w:marLeft w:val="0"/>
      <w:marRight w:val="0"/>
      <w:marTop w:val="0"/>
      <w:marBottom w:val="0"/>
      <w:divBdr>
        <w:top w:val="none" w:sz="0" w:space="0" w:color="auto"/>
        <w:left w:val="none" w:sz="0" w:space="0" w:color="auto"/>
        <w:bottom w:val="none" w:sz="0" w:space="0" w:color="auto"/>
        <w:right w:val="none" w:sz="0" w:space="0" w:color="auto"/>
      </w:divBdr>
    </w:div>
    <w:div w:id="1084570497">
      <w:bodyDiv w:val="1"/>
      <w:marLeft w:val="0"/>
      <w:marRight w:val="0"/>
      <w:marTop w:val="0"/>
      <w:marBottom w:val="0"/>
      <w:divBdr>
        <w:top w:val="none" w:sz="0" w:space="0" w:color="auto"/>
        <w:left w:val="none" w:sz="0" w:space="0" w:color="auto"/>
        <w:bottom w:val="none" w:sz="0" w:space="0" w:color="auto"/>
        <w:right w:val="none" w:sz="0" w:space="0" w:color="auto"/>
      </w:divBdr>
    </w:div>
    <w:div w:id="1089890889">
      <w:bodyDiv w:val="1"/>
      <w:marLeft w:val="0"/>
      <w:marRight w:val="0"/>
      <w:marTop w:val="0"/>
      <w:marBottom w:val="0"/>
      <w:divBdr>
        <w:top w:val="none" w:sz="0" w:space="0" w:color="auto"/>
        <w:left w:val="none" w:sz="0" w:space="0" w:color="auto"/>
        <w:bottom w:val="none" w:sz="0" w:space="0" w:color="auto"/>
        <w:right w:val="none" w:sz="0" w:space="0" w:color="auto"/>
      </w:divBdr>
    </w:div>
    <w:div w:id="1110316711">
      <w:bodyDiv w:val="1"/>
      <w:marLeft w:val="0"/>
      <w:marRight w:val="0"/>
      <w:marTop w:val="0"/>
      <w:marBottom w:val="0"/>
      <w:divBdr>
        <w:top w:val="none" w:sz="0" w:space="0" w:color="auto"/>
        <w:left w:val="none" w:sz="0" w:space="0" w:color="auto"/>
        <w:bottom w:val="none" w:sz="0" w:space="0" w:color="auto"/>
        <w:right w:val="none" w:sz="0" w:space="0" w:color="auto"/>
      </w:divBdr>
    </w:div>
    <w:div w:id="1133251206">
      <w:bodyDiv w:val="1"/>
      <w:marLeft w:val="0"/>
      <w:marRight w:val="0"/>
      <w:marTop w:val="0"/>
      <w:marBottom w:val="0"/>
      <w:divBdr>
        <w:top w:val="none" w:sz="0" w:space="0" w:color="auto"/>
        <w:left w:val="none" w:sz="0" w:space="0" w:color="auto"/>
        <w:bottom w:val="none" w:sz="0" w:space="0" w:color="auto"/>
        <w:right w:val="none" w:sz="0" w:space="0" w:color="auto"/>
      </w:divBdr>
    </w:div>
    <w:div w:id="1153834913">
      <w:bodyDiv w:val="1"/>
      <w:marLeft w:val="0"/>
      <w:marRight w:val="0"/>
      <w:marTop w:val="0"/>
      <w:marBottom w:val="0"/>
      <w:divBdr>
        <w:top w:val="none" w:sz="0" w:space="0" w:color="auto"/>
        <w:left w:val="none" w:sz="0" w:space="0" w:color="auto"/>
        <w:bottom w:val="none" w:sz="0" w:space="0" w:color="auto"/>
        <w:right w:val="none" w:sz="0" w:space="0" w:color="auto"/>
      </w:divBdr>
    </w:div>
    <w:div w:id="1170800743">
      <w:bodyDiv w:val="1"/>
      <w:marLeft w:val="0"/>
      <w:marRight w:val="0"/>
      <w:marTop w:val="0"/>
      <w:marBottom w:val="0"/>
      <w:divBdr>
        <w:top w:val="none" w:sz="0" w:space="0" w:color="auto"/>
        <w:left w:val="none" w:sz="0" w:space="0" w:color="auto"/>
        <w:bottom w:val="none" w:sz="0" w:space="0" w:color="auto"/>
        <w:right w:val="none" w:sz="0" w:space="0" w:color="auto"/>
      </w:divBdr>
      <w:divsChild>
        <w:div w:id="1653606075">
          <w:marLeft w:val="0"/>
          <w:marRight w:val="0"/>
          <w:marTop w:val="0"/>
          <w:marBottom w:val="0"/>
          <w:divBdr>
            <w:top w:val="none" w:sz="0" w:space="0" w:color="auto"/>
            <w:left w:val="none" w:sz="0" w:space="0" w:color="auto"/>
            <w:bottom w:val="none" w:sz="0" w:space="0" w:color="auto"/>
            <w:right w:val="none" w:sz="0" w:space="0" w:color="auto"/>
          </w:divBdr>
        </w:div>
      </w:divsChild>
    </w:div>
    <w:div w:id="1242642965">
      <w:bodyDiv w:val="1"/>
      <w:marLeft w:val="0"/>
      <w:marRight w:val="0"/>
      <w:marTop w:val="0"/>
      <w:marBottom w:val="0"/>
      <w:divBdr>
        <w:top w:val="none" w:sz="0" w:space="0" w:color="auto"/>
        <w:left w:val="none" w:sz="0" w:space="0" w:color="auto"/>
        <w:bottom w:val="none" w:sz="0" w:space="0" w:color="auto"/>
        <w:right w:val="none" w:sz="0" w:space="0" w:color="auto"/>
      </w:divBdr>
      <w:divsChild>
        <w:div w:id="1137070865">
          <w:marLeft w:val="0"/>
          <w:marRight w:val="0"/>
          <w:marTop w:val="0"/>
          <w:marBottom w:val="0"/>
          <w:divBdr>
            <w:top w:val="none" w:sz="0" w:space="0" w:color="auto"/>
            <w:left w:val="none" w:sz="0" w:space="0" w:color="auto"/>
            <w:bottom w:val="none" w:sz="0" w:space="0" w:color="auto"/>
            <w:right w:val="none" w:sz="0" w:space="0" w:color="auto"/>
          </w:divBdr>
        </w:div>
      </w:divsChild>
    </w:div>
    <w:div w:id="1266186511">
      <w:bodyDiv w:val="1"/>
      <w:marLeft w:val="0"/>
      <w:marRight w:val="0"/>
      <w:marTop w:val="0"/>
      <w:marBottom w:val="0"/>
      <w:divBdr>
        <w:top w:val="none" w:sz="0" w:space="0" w:color="auto"/>
        <w:left w:val="none" w:sz="0" w:space="0" w:color="auto"/>
        <w:bottom w:val="none" w:sz="0" w:space="0" w:color="auto"/>
        <w:right w:val="none" w:sz="0" w:space="0" w:color="auto"/>
      </w:divBdr>
      <w:divsChild>
        <w:div w:id="1349797444">
          <w:marLeft w:val="0"/>
          <w:marRight w:val="0"/>
          <w:marTop w:val="0"/>
          <w:marBottom w:val="0"/>
          <w:divBdr>
            <w:top w:val="none" w:sz="0" w:space="0" w:color="auto"/>
            <w:left w:val="none" w:sz="0" w:space="0" w:color="auto"/>
            <w:bottom w:val="none" w:sz="0" w:space="0" w:color="auto"/>
            <w:right w:val="none" w:sz="0" w:space="0" w:color="auto"/>
          </w:divBdr>
        </w:div>
      </w:divsChild>
    </w:div>
    <w:div w:id="1268082051">
      <w:bodyDiv w:val="1"/>
      <w:marLeft w:val="0"/>
      <w:marRight w:val="0"/>
      <w:marTop w:val="0"/>
      <w:marBottom w:val="0"/>
      <w:divBdr>
        <w:top w:val="none" w:sz="0" w:space="0" w:color="auto"/>
        <w:left w:val="none" w:sz="0" w:space="0" w:color="auto"/>
        <w:bottom w:val="none" w:sz="0" w:space="0" w:color="auto"/>
        <w:right w:val="none" w:sz="0" w:space="0" w:color="auto"/>
      </w:divBdr>
    </w:div>
    <w:div w:id="1272935332">
      <w:bodyDiv w:val="1"/>
      <w:marLeft w:val="0"/>
      <w:marRight w:val="0"/>
      <w:marTop w:val="0"/>
      <w:marBottom w:val="0"/>
      <w:divBdr>
        <w:top w:val="none" w:sz="0" w:space="0" w:color="auto"/>
        <w:left w:val="none" w:sz="0" w:space="0" w:color="auto"/>
        <w:bottom w:val="none" w:sz="0" w:space="0" w:color="auto"/>
        <w:right w:val="none" w:sz="0" w:space="0" w:color="auto"/>
      </w:divBdr>
    </w:div>
    <w:div w:id="1292439049">
      <w:bodyDiv w:val="1"/>
      <w:marLeft w:val="0"/>
      <w:marRight w:val="0"/>
      <w:marTop w:val="0"/>
      <w:marBottom w:val="0"/>
      <w:divBdr>
        <w:top w:val="none" w:sz="0" w:space="0" w:color="auto"/>
        <w:left w:val="none" w:sz="0" w:space="0" w:color="auto"/>
        <w:bottom w:val="none" w:sz="0" w:space="0" w:color="auto"/>
        <w:right w:val="none" w:sz="0" w:space="0" w:color="auto"/>
      </w:divBdr>
    </w:div>
    <w:div w:id="1298876299">
      <w:bodyDiv w:val="1"/>
      <w:marLeft w:val="0"/>
      <w:marRight w:val="0"/>
      <w:marTop w:val="0"/>
      <w:marBottom w:val="0"/>
      <w:divBdr>
        <w:top w:val="none" w:sz="0" w:space="0" w:color="auto"/>
        <w:left w:val="none" w:sz="0" w:space="0" w:color="auto"/>
        <w:bottom w:val="none" w:sz="0" w:space="0" w:color="auto"/>
        <w:right w:val="none" w:sz="0" w:space="0" w:color="auto"/>
      </w:divBdr>
      <w:divsChild>
        <w:div w:id="1422096955">
          <w:marLeft w:val="0"/>
          <w:marRight w:val="0"/>
          <w:marTop w:val="0"/>
          <w:marBottom w:val="0"/>
          <w:divBdr>
            <w:top w:val="none" w:sz="0" w:space="0" w:color="auto"/>
            <w:left w:val="none" w:sz="0" w:space="0" w:color="auto"/>
            <w:bottom w:val="none" w:sz="0" w:space="0" w:color="auto"/>
            <w:right w:val="none" w:sz="0" w:space="0" w:color="auto"/>
          </w:divBdr>
        </w:div>
      </w:divsChild>
    </w:div>
    <w:div w:id="1314991235">
      <w:bodyDiv w:val="1"/>
      <w:marLeft w:val="0"/>
      <w:marRight w:val="0"/>
      <w:marTop w:val="0"/>
      <w:marBottom w:val="0"/>
      <w:divBdr>
        <w:top w:val="none" w:sz="0" w:space="0" w:color="auto"/>
        <w:left w:val="none" w:sz="0" w:space="0" w:color="auto"/>
        <w:bottom w:val="none" w:sz="0" w:space="0" w:color="auto"/>
        <w:right w:val="none" w:sz="0" w:space="0" w:color="auto"/>
      </w:divBdr>
    </w:div>
    <w:div w:id="1323897592">
      <w:bodyDiv w:val="1"/>
      <w:marLeft w:val="0"/>
      <w:marRight w:val="0"/>
      <w:marTop w:val="0"/>
      <w:marBottom w:val="0"/>
      <w:divBdr>
        <w:top w:val="none" w:sz="0" w:space="0" w:color="auto"/>
        <w:left w:val="none" w:sz="0" w:space="0" w:color="auto"/>
        <w:bottom w:val="none" w:sz="0" w:space="0" w:color="auto"/>
        <w:right w:val="none" w:sz="0" w:space="0" w:color="auto"/>
      </w:divBdr>
    </w:div>
    <w:div w:id="1358506429">
      <w:bodyDiv w:val="1"/>
      <w:marLeft w:val="0"/>
      <w:marRight w:val="0"/>
      <w:marTop w:val="0"/>
      <w:marBottom w:val="0"/>
      <w:divBdr>
        <w:top w:val="none" w:sz="0" w:space="0" w:color="auto"/>
        <w:left w:val="none" w:sz="0" w:space="0" w:color="auto"/>
        <w:bottom w:val="none" w:sz="0" w:space="0" w:color="auto"/>
        <w:right w:val="none" w:sz="0" w:space="0" w:color="auto"/>
      </w:divBdr>
      <w:divsChild>
        <w:div w:id="2102140982">
          <w:marLeft w:val="0"/>
          <w:marRight w:val="0"/>
          <w:marTop w:val="0"/>
          <w:marBottom w:val="0"/>
          <w:divBdr>
            <w:top w:val="none" w:sz="0" w:space="0" w:color="auto"/>
            <w:left w:val="none" w:sz="0" w:space="0" w:color="auto"/>
            <w:bottom w:val="none" w:sz="0" w:space="0" w:color="auto"/>
            <w:right w:val="none" w:sz="0" w:space="0" w:color="auto"/>
          </w:divBdr>
        </w:div>
      </w:divsChild>
    </w:div>
    <w:div w:id="1362197859">
      <w:bodyDiv w:val="1"/>
      <w:marLeft w:val="0"/>
      <w:marRight w:val="0"/>
      <w:marTop w:val="0"/>
      <w:marBottom w:val="0"/>
      <w:divBdr>
        <w:top w:val="none" w:sz="0" w:space="0" w:color="auto"/>
        <w:left w:val="none" w:sz="0" w:space="0" w:color="auto"/>
        <w:bottom w:val="none" w:sz="0" w:space="0" w:color="auto"/>
        <w:right w:val="none" w:sz="0" w:space="0" w:color="auto"/>
      </w:divBdr>
    </w:div>
    <w:div w:id="1375080677">
      <w:bodyDiv w:val="1"/>
      <w:marLeft w:val="0"/>
      <w:marRight w:val="0"/>
      <w:marTop w:val="0"/>
      <w:marBottom w:val="0"/>
      <w:divBdr>
        <w:top w:val="none" w:sz="0" w:space="0" w:color="auto"/>
        <w:left w:val="none" w:sz="0" w:space="0" w:color="auto"/>
        <w:bottom w:val="none" w:sz="0" w:space="0" w:color="auto"/>
        <w:right w:val="none" w:sz="0" w:space="0" w:color="auto"/>
      </w:divBdr>
    </w:div>
    <w:div w:id="1378427648">
      <w:bodyDiv w:val="1"/>
      <w:marLeft w:val="0"/>
      <w:marRight w:val="0"/>
      <w:marTop w:val="0"/>
      <w:marBottom w:val="0"/>
      <w:divBdr>
        <w:top w:val="none" w:sz="0" w:space="0" w:color="auto"/>
        <w:left w:val="none" w:sz="0" w:space="0" w:color="auto"/>
        <w:bottom w:val="none" w:sz="0" w:space="0" w:color="auto"/>
        <w:right w:val="none" w:sz="0" w:space="0" w:color="auto"/>
      </w:divBdr>
    </w:div>
    <w:div w:id="1383745637">
      <w:bodyDiv w:val="1"/>
      <w:marLeft w:val="0"/>
      <w:marRight w:val="0"/>
      <w:marTop w:val="0"/>
      <w:marBottom w:val="0"/>
      <w:divBdr>
        <w:top w:val="none" w:sz="0" w:space="0" w:color="auto"/>
        <w:left w:val="none" w:sz="0" w:space="0" w:color="auto"/>
        <w:bottom w:val="none" w:sz="0" w:space="0" w:color="auto"/>
        <w:right w:val="none" w:sz="0" w:space="0" w:color="auto"/>
      </w:divBdr>
    </w:div>
    <w:div w:id="1399941340">
      <w:bodyDiv w:val="1"/>
      <w:marLeft w:val="0"/>
      <w:marRight w:val="0"/>
      <w:marTop w:val="0"/>
      <w:marBottom w:val="0"/>
      <w:divBdr>
        <w:top w:val="none" w:sz="0" w:space="0" w:color="auto"/>
        <w:left w:val="none" w:sz="0" w:space="0" w:color="auto"/>
        <w:bottom w:val="none" w:sz="0" w:space="0" w:color="auto"/>
        <w:right w:val="none" w:sz="0" w:space="0" w:color="auto"/>
      </w:divBdr>
    </w:div>
    <w:div w:id="1442185238">
      <w:bodyDiv w:val="1"/>
      <w:marLeft w:val="0"/>
      <w:marRight w:val="0"/>
      <w:marTop w:val="0"/>
      <w:marBottom w:val="0"/>
      <w:divBdr>
        <w:top w:val="none" w:sz="0" w:space="0" w:color="auto"/>
        <w:left w:val="none" w:sz="0" w:space="0" w:color="auto"/>
        <w:bottom w:val="none" w:sz="0" w:space="0" w:color="auto"/>
        <w:right w:val="none" w:sz="0" w:space="0" w:color="auto"/>
      </w:divBdr>
    </w:div>
    <w:div w:id="1469201514">
      <w:bodyDiv w:val="1"/>
      <w:marLeft w:val="0"/>
      <w:marRight w:val="0"/>
      <w:marTop w:val="0"/>
      <w:marBottom w:val="0"/>
      <w:divBdr>
        <w:top w:val="none" w:sz="0" w:space="0" w:color="auto"/>
        <w:left w:val="none" w:sz="0" w:space="0" w:color="auto"/>
        <w:bottom w:val="none" w:sz="0" w:space="0" w:color="auto"/>
        <w:right w:val="none" w:sz="0" w:space="0" w:color="auto"/>
      </w:divBdr>
      <w:divsChild>
        <w:div w:id="426925909">
          <w:marLeft w:val="274"/>
          <w:marRight w:val="0"/>
          <w:marTop w:val="0"/>
          <w:marBottom w:val="120"/>
          <w:divBdr>
            <w:top w:val="none" w:sz="0" w:space="0" w:color="auto"/>
            <w:left w:val="none" w:sz="0" w:space="0" w:color="auto"/>
            <w:bottom w:val="none" w:sz="0" w:space="0" w:color="auto"/>
            <w:right w:val="none" w:sz="0" w:space="0" w:color="auto"/>
          </w:divBdr>
        </w:div>
        <w:div w:id="614795915">
          <w:marLeft w:val="274"/>
          <w:marRight w:val="0"/>
          <w:marTop w:val="0"/>
          <w:marBottom w:val="120"/>
          <w:divBdr>
            <w:top w:val="none" w:sz="0" w:space="0" w:color="auto"/>
            <w:left w:val="none" w:sz="0" w:space="0" w:color="auto"/>
            <w:bottom w:val="none" w:sz="0" w:space="0" w:color="auto"/>
            <w:right w:val="none" w:sz="0" w:space="0" w:color="auto"/>
          </w:divBdr>
        </w:div>
        <w:div w:id="807552121">
          <w:marLeft w:val="274"/>
          <w:marRight w:val="0"/>
          <w:marTop w:val="0"/>
          <w:marBottom w:val="120"/>
          <w:divBdr>
            <w:top w:val="none" w:sz="0" w:space="0" w:color="auto"/>
            <w:left w:val="none" w:sz="0" w:space="0" w:color="auto"/>
            <w:bottom w:val="none" w:sz="0" w:space="0" w:color="auto"/>
            <w:right w:val="none" w:sz="0" w:space="0" w:color="auto"/>
          </w:divBdr>
        </w:div>
        <w:div w:id="1123382408">
          <w:marLeft w:val="274"/>
          <w:marRight w:val="0"/>
          <w:marTop w:val="0"/>
          <w:marBottom w:val="120"/>
          <w:divBdr>
            <w:top w:val="none" w:sz="0" w:space="0" w:color="auto"/>
            <w:left w:val="none" w:sz="0" w:space="0" w:color="auto"/>
            <w:bottom w:val="none" w:sz="0" w:space="0" w:color="auto"/>
            <w:right w:val="none" w:sz="0" w:space="0" w:color="auto"/>
          </w:divBdr>
        </w:div>
      </w:divsChild>
    </w:div>
    <w:div w:id="1487210789">
      <w:bodyDiv w:val="1"/>
      <w:marLeft w:val="0"/>
      <w:marRight w:val="0"/>
      <w:marTop w:val="0"/>
      <w:marBottom w:val="0"/>
      <w:divBdr>
        <w:top w:val="none" w:sz="0" w:space="0" w:color="auto"/>
        <w:left w:val="none" w:sz="0" w:space="0" w:color="auto"/>
        <w:bottom w:val="none" w:sz="0" w:space="0" w:color="auto"/>
        <w:right w:val="none" w:sz="0" w:space="0" w:color="auto"/>
      </w:divBdr>
    </w:div>
    <w:div w:id="1493641447">
      <w:bodyDiv w:val="1"/>
      <w:marLeft w:val="0"/>
      <w:marRight w:val="0"/>
      <w:marTop w:val="0"/>
      <w:marBottom w:val="0"/>
      <w:divBdr>
        <w:top w:val="none" w:sz="0" w:space="0" w:color="auto"/>
        <w:left w:val="none" w:sz="0" w:space="0" w:color="auto"/>
        <w:bottom w:val="none" w:sz="0" w:space="0" w:color="auto"/>
        <w:right w:val="none" w:sz="0" w:space="0" w:color="auto"/>
      </w:divBdr>
      <w:divsChild>
        <w:div w:id="651909375">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
    <w:div w:id="1514144871">
      <w:bodyDiv w:val="1"/>
      <w:marLeft w:val="0"/>
      <w:marRight w:val="0"/>
      <w:marTop w:val="0"/>
      <w:marBottom w:val="0"/>
      <w:divBdr>
        <w:top w:val="none" w:sz="0" w:space="0" w:color="auto"/>
        <w:left w:val="none" w:sz="0" w:space="0" w:color="auto"/>
        <w:bottom w:val="none" w:sz="0" w:space="0" w:color="auto"/>
        <w:right w:val="none" w:sz="0" w:space="0" w:color="auto"/>
      </w:divBdr>
    </w:div>
    <w:div w:id="1518032886">
      <w:bodyDiv w:val="1"/>
      <w:marLeft w:val="0"/>
      <w:marRight w:val="0"/>
      <w:marTop w:val="0"/>
      <w:marBottom w:val="0"/>
      <w:divBdr>
        <w:top w:val="none" w:sz="0" w:space="0" w:color="auto"/>
        <w:left w:val="none" w:sz="0" w:space="0" w:color="auto"/>
        <w:bottom w:val="none" w:sz="0" w:space="0" w:color="auto"/>
        <w:right w:val="none" w:sz="0" w:space="0" w:color="auto"/>
      </w:divBdr>
    </w:div>
    <w:div w:id="1518497836">
      <w:bodyDiv w:val="1"/>
      <w:marLeft w:val="0"/>
      <w:marRight w:val="0"/>
      <w:marTop w:val="0"/>
      <w:marBottom w:val="0"/>
      <w:divBdr>
        <w:top w:val="none" w:sz="0" w:space="0" w:color="auto"/>
        <w:left w:val="none" w:sz="0" w:space="0" w:color="auto"/>
        <w:bottom w:val="none" w:sz="0" w:space="0" w:color="auto"/>
        <w:right w:val="none" w:sz="0" w:space="0" w:color="auto"/>
      </w:divBdr>
    </w:div>
    <w:div w:id="1540358961">
      <w:bodyDiv w:val="1"/>
      <w:marLeft w:val="0"/>
      <w:marRight w:val="0"/>
      <w:marTop w:val="0"/>
      <w:marBottom w:val="0"/>
      <w:divBdr>
        <w:top w:val="none" w:sz="0" w:space="0" w:color="auto"/>
        <w:left w:val="none" w:sz="0" w:space="0" w:color="auto"/>
        <w:bottom w:val="none" w:sz="0" w:space="0" w:color="auto"/>
        <w:right w:val="none" w:sz="0" w:space="0" w:color="auto"/>
      </w:divBdr>
    </w:div>
    <w:div w:id="1546672929">
      <w:bodyDiv w:val="1"/>
      <w:marLeft w:val="0"/>
      <w:marRight w:val="0"/>
      <w:marTop w:val="0"/>
      <w:marBottom w:val="0"/>
      <w:divBdr>
        <w:top w:val="none" w:sz="0" w:space="0" w:color="auto"/>
        <w:left w:val="none" w:sz="0" w:space="0" w:color="auto"/>
        <w:bottom w:val="none" w:sz="0" w:space="0" w:color="auto"/>
        <w:right w:val="none" w:sz="0" w:space="0" w:color="auto"/>
      </w:divBdr>
    </w:div>
    <w:div w:id="1564676109">
      <w:bodyDiv w:val="1"/>
      <w:marLeft w:val="0"/>
      <w:marRight w:val="0"/>
      <w:marTop w:val="0"/>
      <w:marBottom w:val="0"/>
      <w:divBdr>
        <w:top w:val="none" w:sz="0" w:space="0" w:color="auto"/>
        <w:left w:val="none" w:sz="0" w:space="0" w:color="auto"/>
        <w:bottom w:val="none" w:sz="0" w:space="0" w:color="auto"/>
        <w:right w:val="none" w:sz="0" w:space="0" w:color="auto"/>
      </w:divBdr>
    </w:div>
    <w:div w:id="1577785254">
      <w:bodyDiv w:val="1"/>
      <w:marLeft w:val="0"/>
      <w:marRight w:val="0"/>
      <w:marTop w:val="0"/>
      <w:marBottom w:val="0"/>
      <w:divBdr>
        <w:top w:val="none" w:sz="0" w:space="0" w:color="auto"/>
        <w:left w:val="none" w:sz="0" w:space="0" w:color="auto"/>
        <w:bottom w:val="none" w:sz="0" w:space="0" w:color="auto"/>
        <w:right w:val="none" w:sz="0" w:space="0" w:color="auto"/>
      </w:divBdr>
      <w:divsChild>
        <w:div w:id="1955208213">
          <w:marLeft w:val="0"/>
          <w:marRight w:val="0"/>
          <w:marTop w:val="0"/>
          <w:marBottom w:val="0"/>
          <w:divBdr>
            <w:top w:val="none" w:sz="0" w:space="0" w:color="auto"/>
            <w:left w:val="none" w:sz="0" w:space="0" w:color="auto"/>
            <w:bottom w:val="none" w:sz="0" w:space="0" w:color="auto"/>
            <w:right w:val="none" w:sz="0" w:space="0" w:color="auto"/>
          </w:divBdr>
        </w:div>
      </w:divsChild>
    </w:div>
    <w:div w:id="1585799241">
      <w:bodyDiv w:val="1"/>
      <w:marLeft w:val="0"/>
      <w:marRight w:val="0"/>
      <w:marTop w:val="0"/>
      <w:marBottom w:val="0"/>
      <w:divBdr>
        <w:top w:val="none" w:sz="0" w:space="0" w:color="auto"/>
        <w:left w:val="none" w:sz="0" w:space="0" w:color="auto"/>
        <w:bottom w:val="none" w:sz="0" w:space="0" w:color="auto"/>
        <w:right w:val="none" w:sz="0" w:space="0" w:color="auto"/>
      </w:divBdr>
    </w:div>
    <w:div w:id="1589264853">
      <w:bodyDiv w:val="1"/>
      <w:marLeft w:val="0"/>
      <w:marRight w:val="0"/>
      <w:marTop w:val="0"/>
      <w:marBottom w:val="0"/>
      <w:divBdr>
        <w:top w:val="none" w:sz="0" w:space="0" w:color="auto"/>
        <w:left w:val="none" w:sz="0" w:space="0" w:color="auto"/>
        <w:bottom w:val="none" w:sz="0" w:space="0" w:color="auto"/>
        <w:right w:val="none" w:sz="0" w:space="0" w:color="auto"/>
      </w:divBdr>
    </w:div>
    <w:div w:id="1601178097">
      <w:bodyDiv w:val="1"/>
      <w:marLeft w:val="0"/>
      <w:marRight w:val="0"/>
      <w:marTop w:val="0"/>
      <w:marBottom w:val="0"/>
      <w:divBdr>
        <w:top w:val="none" w:sz="0" w:space="0" w:color="auto"/>
        <w:left w:val="none" w:sz="0" w:space="0" w:color="auto"/>
        <w:bottom w:val="none" w:sz="0" w:space="0" w:color="auto"/>
        <w:right w:val="none" w:sz="0" w:space="0" w:color="auto"/>
      </w:divBdr>
    </w:div>
    <w:div w:id="1613629810">
      <w:bodyDiv w:val="1"/>
      <w:marLeft w:val="0"/>
      <w:marRight w:val="0"/>
      <w:marTop w:val="0"/>
      <w:marBottom w:val="0"/>
      <w:divBdr>
        <w:top w:val="none" w:sz="0" w:space="0" w:color="auto"/>
        <w:left w:val="none" w:sz="0" w:space="0" w:color="auto"/>
        <w:bottom w:val="none" w:sz="0" w:space="0" w:color="auto"/>
        <w:right w:val="none" w:sz="0" w:space="0" w:color="auto"/>
      </w:divBdr>
    </w:div>
    <w:div w:id="1662587341">
      <w:bodyDiv w:val="1"/>
      <w:marLeft w:val="0"/>
      <w:marRight w:val="0"/>
      <w:marTop w:val="0"/>
      <w:marBottom w:val="0"/>
      <w:divBdr>
        <w:top w:val="none" w:sz="0" w:space="0" w:color="auto"/>
        <w:left w:val="none" w:sz="0" w:space="0" w:color="auto"/>
        <w:bottom w:val="none" w:sz="0" w:space="0" w:color="auto"/>
        <w:right w:val="none" w:sz="0" w:space="0" w:color="auto"/>
      </w:divBdr>
    </w:div>
    <w:div w:id="1734037270">
      <w:bodyDiv w:val="1"/>
      <w:marLeft w:val="0"/>
      <w:marRight w:val="0"/>
      <w:marTop w:val="0"/>
      <w:marBottom w:val="0"/>
      <w:divBdr>
        <w:top w:val="none" w:sz="0" w:space="0" w:color="auto"/>
        <w:left w:val="none" w:sz="0" w:space="0" w:color="auto"/>
        <w:bottom w:val="none" w:sz="0" w:space="0" w:color="auto"/>
        <w:right w:val="none" w:sz="0" w:space="0" w:color="auto"/>
      </w:divBdr>
    </w:div>
    <w:div w:id="1752115174">
      <w:bodyDiv w:val="1"/>
      <w:marLeft w:val="0"/>
      <w:marRight w:val="0"/>
      <w:marTop w:val="0"/>
      <w:marBottom w:val="0"/>
      <w:divBdr>
        <w:top w:val="none" w:sz="0" w:space="0" w:color="auto"/>
        <w:left w:val="none" w:sz="0" w:space="0" w:color="auto"/>
        <w:bottom w:val="none" w:sz="0" w:space="0" w:color="auto"/>
        <w:right w:val="none" w:sz="0" w:space="0" w:color="auto"/>
      </w:divBdr>
    </w:div>
    <w:div w:id="1797945012">
      <w:bodyDiv w:val="1"/>
      <w:marLeft w:val="0"/>
      <w:marRight w:val="0"/>
      <w:marTop w:val="0"/>
      <w:marBottom w:val="0"/>
      <w:divBdr>
        <w:top w:val="none" w:sz="0" w:space="0" w:color="auto"/>
        <w:left w:val="none" w:sz="0" w:space="0" w:color="auto"/>
        <w:bottom w:val="none" w:sz="0" w:space="0" w:color="auto"/>
        <w:right w:val="none" w:sz="0" w:space="0" w:color="auto"/>
      </w:divBdr>
    </w:div>
    <w:div w:id="1808937187">
      <w:bodyDiv w:val="1"/>
      <w:marLeft w:val="0"/>
      <w:marRight w:val="0"/>
      <w:marTop w:val="0"/>
      <w:marBottom w:val="0"/>
      <w:divBdr>
        <w:top w:val="none" w:sz="0" w:space="0" w:color="auto"/>
        <w:left w:val="none" w:sz="0" w:space="0" w:color="auto"/>
        <w:bottom w:val="none" w:sz="0" w:space="0" w:color="auto"/>
        <w:right w:val="none" w:sz="0" w:space="0" w:color="auto"/>
      </w:divBdr>
    </w:div>
    <w:div w:id="1819106645">
      <w:bodyDiv w:val="1"/>
      <w:marLeft w:val="0"/>
      <w:marRight w:val="0"/>
      <w:marTop w:val="0"/>
      <w:marBottom w:val="0"/>
      <w:divBdr>
        <w:top w:val="none" w:sz="0" w:space="0" w:color="auto"/>
        <w:left w:val="none" w:sz="0" w:space="0" w:color="auto"/>
        <w:bottom w:val="none" w:sz="0" w:space="0" w:color="auto"/>
        <w:right w:val="none" w:sz="0" w:space="0" w:color="auto"/>
      </w:divBdr>
      <w:divsChild>
        <w:div w:id="858278490">
          <w:marLeft w:val="0"/>
          <w:marRight w:val="0"/>
          <w:marTop w:val="0"/>
          <w:marBottom w:val="0"/>
          <w:divBdr>
            <w:top w:val="none" w:sz="0" w:space="0" w:color="auto"/>
            <w:left w:val="none" w:sz="0" w:space="0" w:color="auto"/>
            <w:bottom w:val="none" w:sz="0" w:space="0" w:color="auto"/>
            <w:right w:val="none" w:sz="0" w:space="0" w:color="auto"/>
          </w:divBdr>
        </w:div>
        <w:div w:id="1994799720">
          <w:marLeft w:val="0"/>
          <w:marRight w:val="0"/>
          <w:marTop w:val="0"/>
          <w:marBottom w:val="0"/>
          <w:divBdr>
            <w:top w:val="none" w:sz="0" w:space="0" w:color="auto"/>
            <w:left w:val="none" w:sz="0" w:space="0" w:color="auto"/>
            <w:bottom w:val="none" w:sz="0" w:space="0" w:color="auto"/>
            <w:right w:val="none" w:sz="0" w:space="0" w:color="auto"/>
          </w:divBdr>
        </w:div>
      </w:divsChild>
    </w:div>
    <w:div w:id="1853642922">
      <w:bodyDiv w:val="1"/>
      <w:marLeft w:val="0"/>
      <w:marRight w:val="0"/>
      <w:marTop w:val="0"/>
      <w:marBottom w:val="0"/>
      <w:divBdr>
        <w:top w:val="none" w:sz="0" w:space="0" w:color="auto"/>
        <w:left w:val="none" w:sz="0" w:space="0" w:color="auto"/>
        <w:bottom w:val="none" w:sz="0" w:space="0" w:color="auto"/>
        <w:right w:val="none" w:sz="0" w:space="0" w:color="auto"/>
      </w:divBdr>
    </w:div>
    <w:div w:id="1854882670">
      <w:bodyDiv w:val="1"/>
      <w:marLeft w:val="0"/>
      <w:marRight w:val="0"/>
      <w:marTop w:val="0"/>
      <w:marBottom w:val="0"/>
      <w:divBdr>
        <w:top w:val="none" w:sz="0" w:space="0" w:color="auto"/>
        <w:left w:val="none" w:sz="0" w:space="0" w:color="auto"/>
        <w:bottom w:val="none" w:sz="0" w:space="0" w:color="auto"/>
        <w:right w:val="none" w:sz="0" w:space="0" w:color="auto"/>
      </w:divBdr>
    </w:div>
    <w:div w:id="1855683087">
      <w:bodyDiv w:val="1"/>
      <w:marLeft w:val="0"/>
      <w:marRight w:val="0"/>
      <w:marTop w:val="0"/>
      <w:marBottom w:val="0"/>
      <w:divBdr>
        <w:top w:val="none" w:sz="0" w:space="0" w:color="auto"/>
        <w:left w:val="none" w:sz="0" w:space="0" w:color="auto"/>
        <w:bottom w:val="none" w:sz="0" w:space="0" w:color="auto"/>
        <w:right w:val="none" w:sz="0" w:space="0" w:color="auto"/>
      </w:divBdr>
    </w:div>
    <w:div w:id="1873684114">
      <w:bodyDiv w:val="1"/>
      <w:marLeft w:val="0"/>
      <w:marRight w:val="0"/>
      <w:marTop w:val="0"/>
      <w:marBottom w:val="0"/>
      <w:divBdr>
        <w:top w:val="none" w:sz="0" w:space="0" w:color="auto"/>
        <w:left w:val="none" w:sz="0" w:space="0" w:color="auto"/>
        <w:bottom w:val="none" w:sz="0" w:space="0" w:color="auto"/>
        <w:right w:val="none" w:sz="0" w:space="0" w:color="auto"/>
      </w:divBdr>
    </w:div>
    <w:div w:id="1890915987">
      <w:bodyDiv w:val="1"/>
      <w:marLeft w:val="0"/>
      <w:marRight w:val="0"/>
      <w:marTop w:val="0"/>
      <w:marBottom w:val="0"/>
      <w:divBdr>
        <w:top w:val="none" w:sz="0" w:space="0" w:color="auto"/>
        <w:left w:val="none" w:sz="0" w:space="0" w:color="auto"/>
        <w:bottom w:val="none" w:sz="0" w:space="0" w:color="auto"/>
        <w:right w:val="none" w:sz="0" w:space="0" w:color="auto"/>
      </w:divBdr>
    </w:div>
    <w:div w:id="1907380075">
      <w:bodyDiv w:val="1"/>
      <w:marLeft w:val="0"/>
      <w:marRight w:val="0"/>
      <w:marTop w:val="0"/>
      <w:marBottom w:val="0"/>
      <w:divBdr>
        <w:top w:val="none" w:sz="0" w:space="0" w:color="auto"/>
        <w:left w:val="none" w:sz="0" w:space="0" w:color="auto"/>
        <w:bottom w:val="none" w:sz="0" w:space="0" w:color="auto"/>
        <w:right w:val="none" w:sz="0" w:space="0" w:color="auto"/>
      </w:divBdr>
      <w:divsChild>
        <w:div w:id="451367958">
          <w:marLeft w:val="274"/>
          <w:marRight w:val="0"/>
          <w:marTop w:val="0"/>
          <w:marBottom w:val="120"/>
          <w:divBdr>
            <w:top w:val="none" w:sz="0" w:space="0" w:color="auto"/>
            <w:left w:val="none" w:sz="0" w:space="0" w:color="auto"/>
            <w:bottom w:val="none" w:sz="0" w:space="0" w:color="auto"/>
            <w:right w:val="none" w:sz="0" w:space="0" w:color="auto"/>
          </w:divBdr>
        </w:div>
      </w:divsChild>
    </w:div>
    <w:div w:id="1913193779">
      <w:bodyDiv w:val="1"/>
      <w:marLeft w:val="0"/>
      <w:marRight w:val="0"/>
      <w:marTop w:val="0"/>
      <w:marBottom w:val="0"/>
      <w:divBdr>
        <w:top w:val="none" w:sz="0" w:space="0" w:color="auto"/>
        <w:left w:val="none" w:sz="0" w:space="0" w:color="auto"/>
        <w:bottom w:val="none" w:sz="0" w:space="0" w:color="auto"/>
        <w:right w:val="none" w:sz="0" w:space="0" w:color="auto"/>
      </w:divBdr>
    </w:div>
    <w:div w:id="1913346252">
      <w:bodyDiv w:val="1"/>
      <w:marLeft w:val="0"/>
      <w:marRight w:val="0"/>
      <w:marTop w:val="0"/>
      <w:marBottom w:val="0"/>
      <w:divBdr>
        <w:top w:val="none" w:sz="0" w:space="0" w:color="auto"/>
        <w:left w:val="none" w:sz="0" w:space="0" w:color="auto"/>
        <w:bottom w:val="none" w:sz="0" w:space="0" w:color="auto"/>
        <w:right w:val="none" w:sz="0" w:space="0" w:color="auto"/>
      </w:divBdr>
    </w:div>
    <w:div w:id="1943148449">
      <w:bodyDiv w:val="1"/>
      <w:marLeft w:val="0"/>
      <w:marRight w:val="0"/>
      <w:marTop w:val="0"/>
      <w:marBottom w:val="0"/>
      <w:divBdr>
        <w:top w:val="none" w:sz="0" w:space="0" w:color="auto"/>
        <w:left w:val="none" w:sz="0" w:space="0" w:color="auto"/>
        <w:bottom w:val="none" w:sz="0" w:space="0" w:color="auto"/>
        <w:right w:val="none" w:sz="0" w:space="0" w:color="auto"/>
      </w:divBdr>
      <w:divsChild>
        <w:div w:id="366567163">
          <w:marLeft w:val="0"/>
          <w:marRight w:val="0"/>
          <w:marTop w:val="0"/>
          <w:marBottom w:val="0"/>
          <w:divBdr>
            <w:top w:val="none" w:sz="0" w:space="0" w:color="auto"/>
            <w:left w:val="none" w:sz="0" w:space="0" w:color="auto"/>
            <w:bottom w:val="none" w:sz="0" w:space="0" w:color="auto"/>
            <w:right w:val="none" w:sz="0" w:space="0" w:color="auto"/>
          </w:divBdr>
        </w:div>
      </w:divsChild>
    </w:div>
    <w:div w:id="1967658053">
      <w:bodyDiv w:val="1"/>
      <w:marLeft w:val="0"/>
      <w:marRight w:val="0"/>
      <w:marTop w:val="0"/>
      <w:marBottom w:val="0"/>
      <w:divBdr>
        <w:top w:val="none" w:sz="0" w:space="0" w:color="auto"/>
        <w:left w:val="none" w:sz="0" w:space="0" w:color="auto"/>
        <w:bottom w:val="none" w:sz="0" w:space="0" w:color="auto"/>
        <w:right w:val="none" w:sz="0" w:space="0" w:color="auto"/>
      </w:divBdr>
    </w:div>
    <w:div w:id="1989364247">
      <w:bodyDiv w:val="1"/>
      <w:marLeft w:val="0"/>
      <w:marRight w:val="0"/>
      <w:marTop w:val="0"/>
      <w:marBottom w:val="0"/>
      <w:divBdr>
        <w:top w:val="none" w:sz="0" w:space="0" w:color="auto"/>
        <w:left w:val="none" w:sz="0" w:space="0" w:color="auto"/>
        <w:bottom w:val="none" w:sz="0" w:space="0" w:color="auto"/>
        <w:right w:val="none" w:sz="0" w:space="0" w:color="auto"/>
      </w:divBdr>
      <w:divsChild>
        <w:div w:id="629869988">
          <w:marLeft w:val="0"/>
          <w:marRight w:val="0"/>
          <w:marTop w:val="0"/>
          <w:marBottom w:val="0"/>
          <w:divBdr>
            <w:top w:val="none" w:sz="0" w:space="0" w:color="auto"/>
            <w:left w:val="none" w:sz="0" w:space="0" w:color="auto"/>
            <w:bottom w:val="none" w:sz="0" w:space="0" w:color="auto"/>
            <w:right w:val="none" w:sz="0" w:space="0" w:color="auto"/>
          </w:divBdr>
        </w:div>
        <w:div w:id="1249382901">
          <w:marLeft w:val="0"/>
          <w:marRight w:val="0"/>
          <w:marTop w:val="0"/>
          <w:marBottom w:val="0"/>
          <w:divBdr>
            <w:top w:val="none" w:sz="0" w:space="0" w:color="auto"/>
            <w:left w:val="none" w:sz="0" w:space="0" w:color="auto"/>
            <w:bottom w:val="none" w:sz="0" w:space="0" w:color="auto"/>
            <w:right w:val="none" w:sz="0" w:space="0" w:color="auto"/>
          </w:divBdr>
        </w:div>
      </w:divsChild>
    </w:div>
    <w:div w:id="1995335255">
      <w:bodyDiv w:val="1"/>
      <w:marLeft w:val="0"/>
      <w:marRight w:val="0"/>
      <w:marTop w:val="0"/>
      <w:marBottom w:val="0"/>
      <w:divBdr>
        <w:top w:val="none" w:sz="0" w:space="0" w:color="auto"/>
        <w:left w:val="none" w:sz="0" w:space="0" w:color="auto"/>
        <w:bottom w:val="none" w:sz="0" w:space="0" w:color="auto"/>
        <w:right w:val="none" w:sz="0" w:space="0" w:color="auto"/>
      </w:divBdr>
      <w:divsChild>
        <w:div w:id="472911049">
          <w:marLeft w:val="0"/>
          <w:marRight w:val="0"/>
          <w:marTop w:val="0"/>
          <w:marBottom w:val="0"/>
          <w:divBdr>
            <w:top w:val="none" w:sz="0" w:space="0" w:color="auto"/>
            <w:left w:val="none" w:sz="0" w:space="0" w:color="auto"/>
            <w:bottom w:val="none" w:sz="0" w:space="0" w:color="auto"/>
            <w:right w:val="none" w:sz="0" w:space="0" w:color="auto"/>
          </w:divBdr>
        </w:div>
        <w:div w:id="1764254057">
          <w:marLeft w:val="0"/>
          <w:marRight w:val="0"/>
          <w:marTop w:val="0"/>
          <w:marBottom w:val="0"/>
          <w:divBdr>
            <w:top w:val="none" w:sz="0" w:space="0" w:color="auto"/>
            <w:left w:val="none" w:sz="0" w:space="0" w:color="auto"/>
            <w:bottom w:val="none" w:sz="0" w:space="0" w:color="auto"/>
            <w:right w:val="none" w:sz="0" w:space="0" w:color="auto"/>
          </w:divBdr>
        </w:div>
      </w:divsChild>
    </w:div>
    <w:div w:id="1996258262">
      <w:bodyDiv w:val="1"/>
      <w:marLeft w:val="0"/>
      <w:marRight w:val="0"/>
      <w:marTop w:val="0"/>
      <w:marBottom w:val="0"/>
      <w:divBdr>
        <w:top w:val="none" w:sz="0" w:space="0" w:color="auto"/>
        <w:left w:val="none" w:sz="0" w:space="0" w:color="auto"/>
        <w:bottom w:val="none" w:sz="0" w:space="0" w:color="auto"/>
        <w:right w:val="none" w:sz="0" w:space="0" w:color="auto"/>
      </w:divBdr>
    </w:div>
    <w:div w:id="2006782191">
      <w:bodyDiv w:val="1"/>
      <w:marLeft w:val="0"/>
      <w:marRight w:val="0"/>
      <w:marTop w:val="0"/>
      <w:marBottom w:val="0"/>
      <w:divBdr>
        <w:top w:val="none" w:sz="0" w:space="0" w:color="auto"/>
        <w:left w:val="none" w:sz="0" w:space="0" w:color="auto"/>
        <w:bottom w:val="none" w:sz="0" w:space="0" w:color="auto"/>
        <w:right w:val="none" w:sz="0" w:space="0" w:color="auto"/>
      </w:divBdr>
    </w:div>
    <w:div w:id="2015837504">
      <w:bodyDiv w:val="1"/>
      <w:marLeft w:val="0"/>
      <w:marRight w:val="0"/>
      <w:marTop w:val="0"/>
      <w:marBottom w:val="0"/>
      <w:divBdr>
        <w:top w:val="none" w:sz="0" w:space="0" w:color="auto"/>
        <w:left w:val="none" w:sz="0" w:space="0" w:color="auto"/>
        <w:bottom w:val="none" w:sz="0" w:space="0" w:color="auto"/>
        <w:right w:val="none" w:sz="0" w:space="0" w:color="auto"/>
      </w:divBdr>
    </w:div>
    <w:div w:id="2034264687">
      <w:bodyDiv w:val="1"/>
      <w:marLeft w:val="0"/>
      <w:marRight w:val="0"/>
      <w:marTop w:val="0"/>
      <w:marBottom w:val="0"/>
      <w:divBdr>
        <w:top w:val="none" w:sz="0" w:space="0" w:color="auto"/>
        <w:left w:val="none" w:sz="0" w:space="0" w:color="auto"/>
        <w:bottom w:val="none" w:sz="0" w:space="0" w:color="auto"/>
        <w:right w:val="none" w:sz="0" w:space="0" w:color="auto"/>
      </w:divBdr>
    </w:div>
    <w:div w:id="2039619440">
      <w:bodyDiv w:val="1"/>
      <w:marLeft w:val="0"/>
      <w:marRight w:val="0"/>
      <w:marTop w:val="0"/>
      <w:marBottom w:val="0"/>
      <w:divBdr>
        <w:top w:val="none" w:sz="0" w:space="0" w:color="auto"/>
        <w:left w:val="none" w:sz="0" w:space="0" w:color="auto"/>
        <w:bottom w:val="none" w:sz="0" w:space="0" w:color="auto"/>
        <w:right w:val="none" w:sz="0" w:space="0" w:color="auto"/>
      </w:divBdr>
    </w:div>
    <w:div w:id="2099868183">
      <w:bodyDiv w:val="1"/>
      <w:marLeft w:val="0"/>
      <w:marRight w:val="0"/>
      <w:marTop w:val="0"/>
      <w:marBottom w:val="0"/>
      <w:divBdr>
        <w:top w:val="none" w:sz="0" w:space="0" w:color="auto"/>
        <w:left w:val="none" w:sz="0" w:space="0" w:color="auto"/>
        <w:bottom w:val="none" w:sz="0" w:space="0" w:color="auto"/>
        <w:right w:val="none" w:sz="0" w:space="0" w:color="auto"/>
      </w:divBdr>
    </w:div>
    <w:div w:id="2107574517">
      <w:bodyDiv w:val="1"/>
      <w:marLeft w:val="0"/>
      <w:marRight w:val="0"/>
      <w:marTop w:val="0"/>
      <w:marBottom w:val="0"/>
      <w:divBdr>
        <w:top w:val="none" w:sz="0" w:space="0" w:color="auto"/>
        <w:left w:val="none" w:sz="0" w:space="0" w:color="auto"/>
        <w:bottom w:val="none" w:sz="0" w:space="0" w:color="auto"/>
        <w:right w:val="none" w:sz="0" w:space="0" w:color="auto"/>
      </w:divBdr>
    </w:div>
    <w:div w:id="21229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apspensionschem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nsultations/climate-and-investment-reporting-setting-expectations-and-empowering-savers/outcome/reporting-on-stewardship-and-other-topics-through-the-statement-of-investment-principles-and-the-implementation-statement-statutory-and-non-statuto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CP\Word\Templates\LCP%20Document%202020%2001.dotx" TargetMode="External"/></Relationships>
</file>

<file path=word/theme/theme1.xml><?xml version="1.0" encoding="utf-8"?>
<a:theme xmlns:a="http://schemas.openxmlformats.org/drawingml/2006/main" name="Office Theme">
  <a:themeElements>
    <a:clrScheme name="LCP 2017">
      <a:dk1>
        <a:srgbClr val="000000"/>
      </a:dk1>
      <a:lt1>
        <a:sysClr val="window" lastClr="FFFFFF"/>
      </a:lt1>
      <a:dk2>
        <a:srgbClr val="00A3C7"/>
      </a:dk2>
      <a:lt2>
        <a:srgbClr val="FFFFFF"/>
      </a:lt2>
      <a:accent1>
        <a:srgbClr val="8DA8AD"/>
      </a:accent1>
      <a:accent2>
        <a:srgbClr val="F7A600"/>
      </a:accent2>
      <a:accent3>
        <a:srgbClr val="E93F6F"/>
      </a:accent3>
      <a:accent4>
        <a:srgbClr val="002F5F"/>
      </a:accent4>
      <a:accent5>
        <a:srgbClr val="D4DC5C"/>
      </a:accent5>
      <a:accent6>
        <a:srgbClr val="015357"/>
      </a:accent6>
      <a:hlink>
        <a:srgbClr val="00A3C7"/>
      </a:hlink>
      <a:folHlink>
        <a:srgbClr val="F7A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8300e5-0849-48c1-8431-d67a828bfa9b" xsi:nil="true"/>
    <SharedWithUsers xmlns="338300e5-0849-48c1-8431-d67a828bfa9b">
      <UserInfo>
        <DisplayName/>
        <AccountId xsi:nil="true"/>
        <AccountType/>
      </UserInfo>
    </SharedWithUsers>
    <lcf76f155ced4ddcb4097134ff3c332f xmlns="89e586a0-6df6-42ed-ad16-251ce54c2a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EFDD46AC8004AB5041DCC6675B2C9" ma:contentTypeVersion="15" ma:contentTypeDescription="Create a new document." ma:contentTypeScope="" ma:versionID="118bdb437a421f3b634ec37216d5b7bb">
  <xsd:schema xmlns:xsd="http://www.w3.org/2001/XMLSchema" xmlns:xs="http://www.w3.org/2001/XMLSchema" xmlns:p="http://schemas.microsoft.com/office/2006/metadata/properties" xmlns:ns2="89e586a0-6df6-42ed-ad16-251ce54c2aa9" xmlns:ns3="338300e5-0849-48c1-8431-d67a828bfa9b" targetNamespace="http://schemas.microsoft.com/office/2006/metadata/properties" ma:root="true" ma:fieldsID="50cdd692dec1f4dc40f8ab3e1723ef82" ns2:_="" ns3:_="">
    <xsd:import namespace="89e586a0-6df6-42ed-ad16-251ce54c2aa9"/>
    <xsd:import namespace="338300e5-0849-48c1-8431-d67a828bfa9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586a0-6df6-42ed-ad16-251ce54c2a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812c703-2587-4800-ba17-981d4e7ed47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300e5-0849-48c1-8431-d67a828bfa9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36c253-0622-41b5-a10b-6f6aa2ab3d23}" ma:internalName="TaxCatchAll" ma:showField="CatchAllData" ma:web="338300e5-0849-48c1-8431-d67a828bfa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B0A9-5D4C-4841-B700-F0AA1AAB03BF}">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a087b728-3eb3-4aa2-8b64-c63683db8084"/>
    <ds:schemaRef ds:uri="67927d1e-6997-4a9a-b976-9e8fefd25411"/>
    <ds:schemaRef ds:uri="da55d233-c1cb-4851-8205-85148bd273b9"/>
  </ds:schemaRefs>
</ds:datastoreItem>
</file>

<file path=customXml/itemProps2.xml><?xml version="1.0" encoding="utf-8"?>
<ds:datastoreItem xmlns:ds="http://schemas.openxmlformats.org/officeDocument/2006/customXml" ds:itemID="{71C0FD5A-EE96-4B9F-9EEC-0505D689F104}">
  <ds:schemaRefs>
    <ds:schemaRef ds:uri="http://schemas.microsoft.com/sharepoint/v3/contenttype/forms"/>
  </ds:schemaRefs>
</ds:datastoreItem>
</file>

<file path=customXml/itemProps3.xml><?xml version="1.0" encoding="utf-8"?>
<ds:datastoreItem xmlns:ds="http://schemas.openxmlformats.org/officeDocument/2006/customXml" ds:itemID="{D5AAD835-22B3-4A52-9C71-E54F03D07678}"/>
</file>

<file path=customXml/itemProps4.xml><?xml version="1.0" encoding="utf-8"?>
<ds:datastoreItem xmlns:ds="http://schemas.openxmlformats.org/officeDocument/2006/customXml" ds:itemID="{5B1B4A27-02F5-4DAF-A081-1D1B9367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LCP Document 2020 01.dotx</Template>
  <TotalTime>12</TotalTime>
  <Pages>7</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Implementation statement</vt:lpstr>
    </vt:vector>
  </TitlesOfParts>
  <Company/>
  <LinksUpToDate>false</LinksUpToDate>
  <CharactersWithSpaces>23598</CharactersWithSpaces>
  <SharedDoc>false</SharedDoc>
  <HLinks>
    <vt:vector size="78" baseType="variant">
      <vt:variant>
        <vt:i4>2687099</vt:i4>
      </vt:variant>
      <vt:variant>
        <vt:i4>18</vt:i4>
      </vt:variant>
      <vt:variant>
        <vt:i4>0</vt:i4>
      </vt:variant>
      <vt:variant>
        <vt:i4>5</vt:i4>
      </vt:variant>
      <vt:variant>
        <vt:lpwstr>https://www.geapspensionscheme.com/</vt:lpwstr>
      </vt:variant>
      <vt:variant>
        <vt:lpwstr/>
      </vt:variant>
      <vt:variant>
        <vt:i4>6684777</vt:i4>
      </vt:variant>
      <vt:variant>
        <vt:i4>15</vt:i4>
      </vt:variant>
      <vt:variant>
        <vt:i4>0</vt:i4>
      </vt:variant>
      <vt:variant>
        <vt:i4>5</vt:i4>
      </vt:variant>
      <vt:variant>
        <vt:lpwstr>https://www.gov.uk/government/consultations/climate-and-investment-reporting-setting-expectations-and-empowering-savers/outcome/reporting-on-stewardship-and-other-topics-through-the-statement-of-investment-principles-and-the-implementation-statement-statutory-and-non-statutory</vt:lpwstr>
      </vt:variant>
      <vt:variant>
        <vt:lpwstr/>
      </vt:variant>
      <vt:variant>
        <vt:i4>4915221</vt:i4>
      </vt:variant>
      <vt:variant>
        <vt:i4>12</vt:i4>
      </vt:variant>
      <vt:variant>
        <vt:i4>0</vt:i4>
      </vt:variant>
      <vt:variant>
        <vt:i4>5</vt:i4>
      </vt:variant>
      <vt:variant>
        <vt:lpwstr>https://www.lcp.com/third-party-privacy-notice/emails-important-information/</vt:lpwstr>
      </vt:variant>
      <vt:variant>
        <vt:lpwstr/>
      </vt:variant>
      <vt:variant>
        <vt:i4>1769534</vt:i4>
      </vt:variant>
      <vt:variant>
        <vt:i4>9</vt:i4>
      </vt:variant>
      <vt:variant>
        <vt:i4>0</vt:i4>
      </vt:variant>
      <vt:variant>
        <vt:i4>5</vt:i4>
      </vt:variant>
      <vt:variant>
        <vt:lpwstr>mailto:Toby.Porter@lcp.uk.com</vt:lpwstr>
      </vt:variant>
      <vt:variant>
        <vt:lpwstr/>
      </vt:variant>
      <vt:variant>
        <vt:i4>6422640</vt:i4>
      </vt:variant>
      <vt:variant>
        <vt:i4>6</vt:i4>
      </vt:variant>
      <vt:variant>
        <vt:i4>0</vt:i4>
      </vt:variant>
      <vt:variant>
        <vt:i4>5</vt:i4>
      </vt:variant>
      <vt:variant>
        <vt:lpwstr>mailto:</vt:lpwstr>
      </vt:variant>
      <vt:variant>
        <vt:lpwstr/>
      </vt:variant>
      <vt:variant>
        <vt:i4>6684777</vt:i4>
      </vt:variant>
      <vt:variant>
        <vt:i4>3</vt:i4>
      </vt:variant>
      <vt:variant>
        <vt:i4>0</vt:i4>
      </vt:variant>
      <vt:variant>
        <vt:i4>5</vt:i4>
      </vt:variant>
      <vt:variant>
        <vt:lpwstr>https://www.gov.uk/government/consultations/climate-and-investment-reporting-setting-expectations-and-empowering-savers/outcome/reporting-on-stewardship-and-other-topics-through-the-statement-of-investment-principles-and-the-implementation-statement-statutory-and-non-statutory</vt:lpwstr>
      </vt:variant>
      <vt:variant>
        <vt:lpwstr/>
      </vt:variant>
      <vt:variant>
        <vt:i4>3539056</vt:i4>
      </vt:variant>
      <vt:variant>
        <vt:i4>15</vt:i4>
      </vt:variant>
      <vt:variant>
        <vt:i4>0</vt:i4>
      </vt:variant>
      <vt:variant>
        <vt:i4>5</vt:i4>
      </vt:variant>
      <vt:variant>
        <vt:lpwstr>https://lcponline.sharepoint.com/teams/GEAPS/Shared Documents/Forms/AllItems.aspx?id=%2Fteams%2FGEAPS%2FShared%20Documents%2FGeneral%2FImportant%20Documents%2FImplementation%20Statement%2F31%20March%202024%2FBacking%2FManagers%2FPublic%2FSSGA%20confirms%20when%20equity%20managers%20were%20disinvested%20from%2Emsg&amp;viewid=14abaff3%2D1414%2D497a%2D9dd7%2Da6359d80e39e&amp;parent=%2Fteams%2FGEAPS%2FShared%20Documents%2FGeneral%2FImportant%20Documents%2FImplementation%20Statement%2F31%20March%202024%2FBacking%2FManagers%2FPublic</vt:lpwstr>
      </vt:variant>
      <vt:variant>
        <vt:lpwstr/>
      </vt:variant>
      <vt:variant>
        <vt:i4>5177467</vt:i4>
      </vt:variant>
      <vt:variant>
        <vt:i4>12</vt:i4>
      </vt:variant>
      <vt:variant>
        <vt:i4>0</vt:i4>
      </vt:variant>
      <vt:variant>
        <vt:i4>5</vt:i4>
      </vt:variant>
      <vt:variant>
        <vt:lpwstr>mailto:Gilad.Isman@lcp.uk.com</vt:lpwstr>
      </vt:variant>
      <vt:variant>
        <vt:lpwstr/>
      </vt:variant>
      <vt:variant>
        <vt:i4>5177467</vt:i4>
      </vt:variant>
      <vt:variant>
        <vt:i4>9</vt:i4>
      </vt:variant>
      <vt:variant>
        <vt:i4>0</vt:i4>
      </vt:variant>
      <vt:variant>
        <vt:i4>5</vt:i4>
      </vt:variant>
      <vt:variant>
        <vt:lpwstr>mailto:Gilad.Isman@lcp.uk.com</vt:lpwstr>
      </vt:variant>
      <vt:variant>
        <vt:lpwstr/>
      </vt:variant>
      <vt:variant>
        <vt:i4>5177467</vt:i4>
      </vt:variant>
      <vt:variant>
        <vt:i4>6</vt:i4>
      </vt:variant>
      <vt:variant>
        <vt:i4>0</vt:i4>
      </vt:variant>
      <vt:variant>
        <vt:i4>5</vt:i4>
      </vt:variant>
      <vt:variant>
        <vt:lpwstr>mailto:Gilad.Isman@lcp.uk.com</vt:lpwstr>
      </vt:variant>
      <vt:variant>
        <vt:lpwstr/>
      </vt:variant>
      <vt:variant>
        <vt:i4>5177467</vt:i4>
      </vt:variant>
      <vt:variant>
        <vt:i4>3</vt:i4>
      </vt:variant>
      <vt:variant>
        <vt:i4>0</vt:i4>
      </vt:variant>
      <vt:variant>
        <vt:i4>5</vt:i4>
      </vt:variant>
      <vt:variant>
        <vt:lpwstr>mailto:Gilad.Isman@lcp.uk.com</vt:lpwstr>
      </vt:variant>
      <vt:variant>
        <vt:lpwstr/>
      </vt:variant>
      <vt:variant>
        <vt:i4>5177467</vt:i4>
      </vt:variant>
      <vt:variant>
        <vt:i4>0</vt:i4>
      </vt:variant>
      <vt:variant>
        <vt:i4>0</vt:i4>
      </vt:variant>
      <vt:variant>
        <vt:i4>5</vt:i4>
      </vt:variant>
      <vt:variant>
        <vt:lpwstr>mailto:Gilad.Isman@lcp.uk.com</vt:lpwstr>
      </vt:variant>
      <vt:variant>
        <vt:lpwstr/>
      </vt:variant>
      <vt:variant>
        <vt:i4>6160399</vt:i4>
      </vt:variant>
      <vt:variant>
        <vt:i4>0</vt:i4>
      </vt:variant>
      <vt:variant>
        <vt:i4>0</vt:i4>
      </vt:variant>
      <vt:variant>
        <vt:i4>5</vt:i4>
      </vt:variant>
      <vt:variant>
        <vt:lpwstr>\\lcp.uk.com\LCPDrive\Internal\Support\Business Development\Image library\Professional photos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statement</dc:title>
  <dc:subject/>
  <dc:creator>Edward.Dixon@lcp.uk.com</dc:creator>
  <cp:keywords/>
  <dc:description/>
  <cp:lastModifiedBy>Claire Arnold</cp:lastModifiedBy>
  <cp:revision>3</cp:revision>
  <cp:lastPrinted>2024-09-24T14:36:00Z</cp:lastPrinted>
  <dcterms:created xsi:type="dcterms:W3CDTF">2024-10-16T21:02:00Z</dcterms:created>
  <dcterms:modified xsi:type="dcterms:W3CDTF">2024-10-16T21:12:00Z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0x010100CB7EFDD46AC8004AB5041DCC6675B2C9</vt:lpwstr>
  </property>
  <property fmtid="{D5CDD505-2E9C-101B-9397-08002B2CF9AE}" pid="3" name="TemplatetVersion">
    <vt:i4>1</vt:i4>
  </property>
  <property fmtid="{D5CDD505-2E9C-101B-9397-08002B2CF9AE}" pid="4" name="TemplateDate">
    <vt:filetime>2020-01-15T10:00:00Z</vt:filetime>
  </property>
  <property fmtid="{D5CDD505-2E9C-101B-9397-08002B2CF9AE}" pid="5" name="Order">
    <vt:r8>10585200</vt:r8>
  </property>
  <property fmtid="{D5CDD505-2E9C-101B-9397-08002B2CF9AE}" pid="6" name="Highlight to research training site">
    <vt:bool>false</vt:bool>
  </property>
  <property fmtid="{D5CDD505-2E9C-101B-9397-08002B2CF9AE}" pid="7" name="Highlight to Sharepoint sites">
    <vt:bool>false</vt:bool>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Managerresearchmeeting">
    <vt:bool>false</vt:bool>
  </property>
  <property fmtid="{D5CDD505-2E9C-101B-9397-08002B2CF9AE}" pid="13" name="Macro or managers or both">
    <vt:lpwstr>Blank</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9043f10a-881e-4653-a55e-02ca2cc829dc_Enabled">
    <vt:lpwstr>true</vt:lpwstr>
  </property>
  <property fmtid="{D5CDD505-2E9C-101B-9397-08002B2CF9AE}" pid="18" name="MSIP_Label_9043f10a-881e-4653-a55e-02ca2cc829dc_SetDate">
    <vt:lpwstr>2024-10-16T21:02:20Z</vt:lpwstr>
  </property>
  <property fmtid="{D5CDD505-2E9C-101B-9397-08002B2CF9AE}" pid="19" name="MSIP_Label_9043f10a-881e-4653-a55e-02ca2cc829dc_Method">
    <vt:lpwstr>Standard</vt:lpwstr>
  </property>
  <property fmtid="{D5CDD505-2E9C-101B-9397-08002B2CF9AE}" pid="20" name="MSIP_Label_9043f10a-881e-4653-a55e-02ca2cc829dc_Name">
    <vt:lpwstr>ADC_class_200</vt:lpwstr>
  </property>
  <property fmtid="{D5CDD505-2E9C-101B-9397-08002B2CF9AE}" pid="21" name="MSIP_Label_9043f10a-881e-4653-a55e-02ca2cc829dc_SiteId">
    <vt:lpwstr>94cfddbc-0627-494a-ad7a-29aea3aea832</vt:lpwstr>
  </property>
  <property fmtid="{D5CDD505-2E9C-101B-9397-08002B2CF9AE}" pid="22" name="MSIP_Label_9043f10a-881e-4653-a55e-02ca2cc829dc_ActionId">
    <vt:lpwstr>b7c56635-6428-46ca-b342-bf76f284705a</vt:lpwstr>
  </property>
  <property fmtid="{D5CDD505-2E9C-101B-9397-08002B2CF9AE}" pid="23" name="MSIP_Label_9043f10a-881e-4653-a55e-02ca2cc829dc_ContentBits">
    <vt:lpwstr>0</vt:lpwstr>
  </property>
</Properties>
</file>